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09" w:rsidRPr="00ED7C77" w:rsidRDefault="00697B98" w:rsidP="00697B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7C77">
        <w:rPr>
          <w:rFonts w:ascii="Times New Roman" w:hAnsi="Times New Roman" w:cs="Times New Roman"/>
          <w:b/>
          <w:sz w:val="32"/>
          <w:szCs w:val="32"/>
        </w:rPr>
        <w:t>RSJ a.s.</w:t>
      </w:r>
    </w:p>
    <w:p w:rsidR="00697B98" w:rsidRPr="00ED7C77" w:rsidRDefault="00697B98" w:rsidP="00697B98">
      <w:pPr>
        <w:jc w:val="center"/>
        <w:rPr>
          <w:rFonts w:ascii="Times New Roman" w:hAnsi="Times New Roman" w:cs="Times New Roman"/>
          <w:sz w:val="32"/>
          <w:szCs w:val="32"/>
        </w:rPr>
      </w:pPr>
      <w:r w:rsidRPr="00ED7C77">
        <w:rPr>
          <w:rFonts w:ascii="Times New Roman" w:hAnsi="Times New Roman" w:cs="Times New Roman"/>
          <w:sz w:val="32"/>
          <w:szCs w:val="32"/>
        </w:rPr>
        <w:t>(dále jen „Společnost“)</w:t>
      </w:r>
    </w:p>
    <w:p w:rsidR="00697B98" w:rsidRDefault="00697B98" w:rsidP="00697B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2D7A" w:rsidRPr="00615026" w:rsidRDefault="00697B98" w:rsidP="00697B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026">
        <w:rPr>
          <w:rFonts w:ascii="Times New Roman" w:hAnsi="Times New Roman" w:cs="Times New Roman"/>
          <w:b/>
          <w:sz w:val="24"/>
          <w:szCs w:val="24"/>
        </w:rPr>
        <w:t xml:space="preserve">Údaje o Společnosti, o složení akcionářů, o činnosti a finanční situaci </w:t>
      </w:r>
    </w:p>
    <w:p w:rsidR="00697B98" w:rsidRPr="00615026" w:rsidRDefault="00697B98" w:rsidP="005F09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026">
        <w:rPr>
          <w:rFonts w:ascii="Times New Roman" w:hAnsi="Times New Roman" w:cs="Times New Roman"/>
          <w:b/>
          <w:sz w:val="24"/>
          <w:szCs w:val="24"/>
        </w:rPr>
        <w:t>dle ustanovení § 206 vyhlášky č. 123/2007 Sb.</w:t>
      </w:r>
    </w:p>
    <w:p w:rsidR="00697B98" w:rsidRPr="00615026" w:rsidRDefault="00697B98" w:rsidP="00697B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026">
        <w:rPr>
          <w:rFonts w:ascii="Times New Roman" w:hAnsi="Times New Roman" w:cs="Times New Roman"/>
          <w:b/>
          <w:sz w:val="24"/>
          <w:szCs w:val="24"/>
        </w:rPr>
        <w:t>k </w:t>
      </w:r>
      <w:proofErr w:type="gramStart"/>
      <w:r w:rsidRPr="00615026">
        <w:rPr>
          <w:rFonts w:ascii="Times New Roman" w:hAnsi="Times New Roman" w:cs="Times New Roman"/>
          <w:b/>
          <w:sz w:val="24"/>
          <w:szCs w:val="24"/>
        </w:rPr>
        <w:t>30.09.2010</w:t>
      </w:r>
      <w:proofErr w:type="gramEnd"/>
    </w:p>
    <w:p w:rsidR="00697B98" w:rsidRDefault="00697B98" w:rsidP="00697B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7B98" w:rsidRPr="007C15BF" w:rsidRDefault="00697B98" w:rsidP="007C15BF">
      <w:pPr>
        <w:pStyle w:val="Odstavecseseznamem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5BF">
        <w:rPr>
          <w:rFonts w:ascii="Times New Roman" w:hAnsi="Times New Roman" w:cs="Times New Roman"/>
          <w:b/>
          <w:sz w:val="28"/>
          <w:szCs w:val="28"/>
          <w:u w:val="single"/>
        </w:rPr>
        <w:t>Údaje o společnosti</w:t>
      </w:r>
      <w:r w:rsidR="006209B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34E6C" w:rsidRPr="007C15BF" w:rsidRDefault="00A34E6C" w:rsidP="00A34E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Název </w:t>
      </w:r>
      <w:r w:rsidRPr="00A34E6C">
        <w:rPr>
          <w:rFonts w:ascii="Times New Roman" w:hAnsi="Times New Roman" w:cs="Times New Roman"/>
          <w:sz w:val="24"/>
          <w:szCs w:val="24"/>
        </w:rPr>
        <w:t xml:space="preserve">společnosti: </w:t>
      </w:r>
      <w:r>
        <w:rPr>
          <w:rFonts w:ascii="Times New Roman" w:hAnsi="Times New Roman" w:cs="Times New Roman"/>
          <w:sz w:val="24"/>
          <w:szCs w:val="24"/>
        </w:rPr>
        <w:tab/>
      </w:r>
      <w:r w:rsidRPr="007C15BF">
        <w:rPr>
          <w:rFonts w:ascii="Times New Roman" w:hAnsi="Times New Roman" w:cs="Times New Roman"/>
          <w:b/>
          <w:sz w:val="24"/>
          <w:szCs w:val="24"/>
        </w:rPr>
        <w:t>RSJ a.s.</w:t>
      </w:r>
      <w:r w:rsidRPr="007C15BF">
        <w:rPr>
          <w:rFonts w:ascii="Times New Roman" w:hAnsi="Times New Roman" w:cs="Times New Roman"/>
          <w:b/>
          <w:sz w:val="24"/>
          <w:szCs w:val="24"/>
        </w:rPr>
        <w:br/>
      </w:r>
      <w:r w:rsidRPr="00A34E6C">
        <w:rPr>
          <w:rFonts w:ascii="Times New Roman" w:hAnsi="Times New Roman" w:cs="Times New Roman"/>
          <w:sz w:val="24"/>
          <w:szCs w:val="24"/>
        </w:rPr>
        <w:t>Sídlo:</w:t>
      </w:r>
      <w:r w:rsidRPr="00A34E6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C15BF">
        <w:rPr>
          <w:rFonts w:ascii="Times New Roman" w:hAnsi="Times New Roman" w:cs="Times New Roman"/>
          <w:b/>
          <w:sz w:val="24"/>
          <w:szCs w:val="24"/>
        </w:rPr>
        <w:t>Tržiště 366/13, 118 00 Praha 1</w:t>
      </w:r>
      <w:r w:rsidRPr="007C15BF">
        <w:rPr>
          <w:rFonts w:ascii="Times New Roman" w:hAnsi="Times New Roman" w:cs="Times New Roman"/>
          <w:b/>
          <w:sz w:val="24"/>
          <w:szCs w:val="24"/>
        </w:rPr>
        <w:br/>
      </w:r>
      <w:r w:rsidRPr="00A34E6C">
        <w:rPr>
          <w:rFonts w:ascii="Times New Roman" w:hAnsi="Times New Roman" w:cs="Times New Roman"/>
          <w:sz w:val="24"/>
          <w:szCs w:val="24"/>
        </w:rPr>
        <w:t xml:space="preserve">IČ: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C15BF">
        <w:rPr>
          <w:rFonts w:ascii="Times New Roman" w:hAnsi="Times New Roman" w:cs="Times New Roman"/>
          <w:b/>
          <w:sz w:val="24"/>
          <w:szCs w:val="24"/>
        </w:rPr>
        <w:t>00884855</w:t>
      </w:r>
    </w:p>
    <w:p w:rsidR="00A34E6C" w:rsidRPr="007C15BF" w:rsidRDefault="00A34E6C" w:rsidP="00A34E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5BF">
        <w:rPr>
          <w:rFonts w:ascii="Times New Roman" w:hAnsi="Times New Roman" w:cs="Times New Roman"/>
          <w:b/>
          <w:sz w:val="24"/>
          <w:szCs w:val="24"/>
        </w:rPr>
        <w:t xml:space="preserve">Zápisy do OR: </w:t>
      </w:r>
    </w:p>
    <w:p w:rsidR="00A34E6C" w:rsidRPr="006209B5" w:rsidRDefault="00A34E6C" w:rsidP="00A34E6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E6C">
        <w:rPr>
          <w:rFonts w:ascii="Times New Roman" w:hAnsi="Times New Roman" w:cs="Times New Roman"/>
          <w:sz w:val="24"/>
          <w:szCs w:val="24"/>
        </w:rPr>
        <w:t>18.7. 2001</w:t>
      </w:r>
      <w:proofErr w:type="gramEnd"/>
      <w:r w:rsidRPr="00A34E6C">
        <w:rPr>
          <w:rFonts w:ascii="Times New Roman" w:hAnsi="Times New Roman" w:cs="Times New Roman"/>
          <w:sz w:val="24"/>
          <w:szCs w:val="24"/>
        </w:rPr>
        <w:t>, změna právní formy společnosti z RSJ Invest, spol. s r.o. (den zápisu do OR 31.5.1994) na RSJ Invest, a.s</w:t>
      </w:r>
      <w:r w:rsidR="006209B5">
        <w:rPr>
          <w:rFonts w:ascii="Times New Roman" w:hAnsi="Times New Roman" w:cs="Times New Roman"/>
          <w:sz w:val="24"/>
          <w:szCs w:val="24"/>
        </w:rPr>
        <w:t>. (</w:t>
      </w:r>
      <w:r w:rsidRPr="006209B5">
        <w:rPr>
          <w:rFonts w:ascii="Times New Roman" w:hAnsi="Times New Roman" w:cs="Times New Roman"/>
          <w:sz w:val="24"/>
          <w:szCs w:val="24"/>
        </w:rPr>
        <w:t>Krajský soud v Plzni, oddíl B, vložka 932</w:t>
      </w:r>
      <w:r w:rsidR="006209B5">
        <w:rPr>
          <w:rFonts w:ascii="Times New Roman" w:hAnsi="Times New Roman" w:cs="Times New Roman"/>
          <w:sz w:val="24"/>
          <w:szCs w:val="24"/>
        </w:rPr>
        <w:t>)</w:t>
      </w:r>
    </w:p>
    <w:p w:rsidR="00A34E6C" w:rsidRPr="006209B5" w:rsidRDefault="00A34E6C" w:rsidP="00A34E6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E6C">
        <w:rPr>
          <w:rFonts w:ascii="Times New Roman" w:hAnsi="Times New Roman" w:cs="Times New Roman"/>
          <w:sz w:val="24"/>
          <w:szCs w:val="24"/>
        </w:rPr>
        <w:t>6.10.2008</w:t>
      </w:r>
      <w:proofErr w:type="gramEnd"/>
      <w:r w:rsidRPr="00A34E6C">
        <w:rPr>
          <w:rFonts w:ascii="Times New Roman" w:hAnsi="Times New Roman" w:cs="Times New Roman"/>
          <w:sz w:val="24"/>
          <w:szCs w:val="24"/>
        </w:rPr>
        <w:t>, změna sídla Společnosti</w:t>
      </w:r>
      <w:r w:rsidR="006209B5">
        <w:rPr>
          <w:rFonts w:ascii="Times New Roman" w:hAnsi="Times New Roman" w:cs="Times New Roman"/>
          <w:sz w:val="24"/>
          <w:szCs w:val="24"/>
        </w:rPr>
        <w:t xml:space="preserve"> (</w:t>
      </w:r>
      <w:r w:rsidRPr="006209B5">
        <w:rPr>
          <w:rFonts w:ascii="Times New Roman" w:hAnsi="Times New Roman" w:cs="Times New Roman"/>
          <w:sz w:val="24"/>
          <w:szCs w:val="24"/>
        </w:rPr>
        <w:t>Městský sou</w:t>
      </w:r>
      <w:r w:rsidR="006209B5" w:rsidRPr="006209B5">
        <w:rPr>
          <w:rFonts w:ascii="Times New Roman" w:hAnsi="Times New Roman" w:cs="Times New Roman"/>
          <w:sz w:val="24"/>
          <w:szCs w:val="24"/>
        </w:rPr>
        <w:t>d v Praze, oddíl B, vložka 1474</w:t>
      </w:r>
      <w:r w:rsidR="006209B5">
        <w:rPr>
          <w:rFonts w:ascii="Times New Roman" w:hAnsi="Times New Roman" w:cs="Times New Roman"/>
          <w:sz w:val="24"/>
          <w:szCs w:val="24"/>
        </w:rPr>
        <w:t>)</w:t>
      </w:r>
    </w:p>
    <w:p w:rsidR="00A34E6C" w:rsidRPr="00A34E6C" w:rsidRDefault="00A34E6C" w:rsidP="00A34E6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E6C">
        <w:rPr>
          <w:rFonts w:ascii="Times New Roman" w:hAnsi="Times New Roman" w:cs="Times New Roman"/>
          <w:sz w:val="24"/>
          <w:szCs w:val="24"/>
        </w:rPr>
        <w:t>2.12.2008</w:t>
      </w:r>
      <w:proofErr w:type="gramEnd"/>
      <w:r w:rsidRPr="00A34E6C">
        <w:rPr>
          <w:rFonts w:ascii="Times New Roman" w:hAnsi="Times New Roman" w:cs="Times New Roman"/>
          <w:sz w:val="24"/>
          <w:szCs w:val="24"/>
        </w:rPr>
        <w:t>, rozšířen předmět podnikání o výrobu, obchod a služby neuvedené v přílohách 1 až 3 živnostenského zákona</w:t>
      </w:r>
    </w:p>
    <w:p w:rsidR="00A34E6C" w:rsidRPr="00A34E6C" w:rsidRDefault="00A34E6C" w:rsidP="00A34E6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4E6C">
        <w:rPr>
          <w:rFonts w:ascii="Times New Roman" w:hAnsi="Times New Roman" w:cs="Times New Roman"/>
          <w:sz w:val="24"/>
          <w:szCs w:val="24"/>
        </w:rPr>
        <w:t>8.3.2010</w:t>
      </w:r>
      <w:proofErr w:type="gramEnd"/>
      <w:r w:rsidRPr="00A34E6C">
        <w:rPr>
          <w:rFonts w:ascii="Times New Roman" w:hAnsi="Times New Roman" w:cs="Times New Roman"/>
          <w:sz w:val="24"/>
          <w:szCs w:val="24"/>
        </w:rPr>
        <w:t>, změna názvu společnosti z RSJ Invest a.s. na RSJ a.s.</w:t>
      </w:r>
    </w:p>
    <w:p w:rsidR="00A34E6C" w:rsidRPr="007C15BF" w:rsidRDefault="00BD2D7A" w:rsidP="00A34E6C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Údaje o vlastních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akciích a </w:t>
      </w:r>
      <w:r w:rsidR="00A34E6C" w:rsidRPr="007C15BF">
        <w:rPr>
          <w:rFonts w:ascii="Times New Roman" w:hAnsi="Times New Roman" w:cs="Times New Roman"/>
          <w:b/>
          <w:sz w:val="24"/>
          <w:szCs w:val="24"/>
        </w:rPr>
        <w:t xml:space="preserve"> základním</w:t>
      </w:r>
      <w:proofErr w:type="gramEnd"/>
      <w:r w:rsidR="00A34E6C" w:rsidRPr="007C15BF">
        <w:rPr>
          <w:rFonts w:ascii="Times New Roman" w:hAnsi="Times New Roman" w:cs="Times New Roman"/>
          <w:b/>
          <w:sz w:val="24"/>
          <w:szCs w:val="24"/>
        </w:rPr>
        <w:t xml:space="preserve"> kapitálu obchodníka s</w:t>
      </w:r>
      <w:r w:rsidR="006209B5">
        <w:rPr>
          <w:rFonts w:ascii="Times New Roman" w:hAnsi="Times New Roman" w:cs="Times New Roman"/>
          <w:b/>
          <w:sz w:val="24"/>
          <w:szCs w:val="24"/>
        </w:rPr>
        <w:t> </w:t>
      </w:r>
      <w:r w:rsidR="00A34E6C" w:rsidRPr="007C15BF">
        <w:rPr>
          <w:rFonts w:ascii="Times New Roman" w:hAnsi="Times New Roman" w:cs="Times New Roman"/>
          <w:b/>
          <w:sz w:val="24"/>
          <w:szCs w:val="24"/>
        </w:rPr>
        <w:t>CP</w:t>
      </w:r>
      <w:r w:rsidR="006209B5">
        <w:rPr>
          <w:rFonts w:ascii="Times New Roman" w:hAnsi="Times New Roman" w:cs="Times New Roman"/>
          <w:b/>
          <w:sz w:val="24"/>
          <w:szCs w:val="24"/>
        </w:rPr>
        <w:t>:</w:t>
      </w:r>
    </w:p>
    <w:p w:rsidR="00A34E6C" w:rsidRPr="00A34E6C" w:rsidRDefault="00BD2D7A" w:rsidP="00A34E6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kapitál činí 27 000 </w:t>
      </w:r>
      <w:r w:rsidR="00A34E6C" w:rsidRPr="00A34E6C">
        <w:rPr>
          <w:rFonts w:ascii="Times New Roman" w:hAnsi="Times New Roman" w:cs="Times New Roman"/>
          <w:sz w:val="24"/>
          <w:szCs w:val="24"/>
        </w:rPr>
        <w:t xml:space="preserve">000,- Kč (v roce 2001 došlo ke zvýšení základního kapitálu z 10 000 000,- Kč na 27 000 000,- Kč – den zápisu do OR je </w:t>
      </w:r>
      <w:proofErr w:type="gramStart"/>
      <w:r w:rsidR="00A34E6C" w:rsidRPr="00A34E6C">
        <w:rPr>
          <w:rFonts w:ascii="Times New Roman" w:hAnsi="Times New Roman" w:cs="Times New Roman"/>
          <w:sz w:val="24"/>
          <w:szCs w:val="24"/>
        </w:rPr>
        <w:t>10.10.2001</w:t>
      </w:r>
      <w:proofErr w:type="gramEnd"/>
      <w:r w:rsidR="00A34E6C" w:rsidRPr="00A34E6C">
        <w:rPr>
          <w:rFonts w:ascii="Times New Roman" w:hAnsi="Times New Roman" w:cs="Times New Roman"/>
          <w:sz w:val="24"/>
          <w:szCs w:val="24"/>
        </w:rPr>
        <w:t>, splaceno v plné výši);</w:t>
      </w:r>
    </w:p>
    <w:p w:rsidR="00A34E6C" w:rsidRPr="00A34E6C" w:rsidRDefault="00A34E6C" w:rsidP="00A34E6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E6C">
        <w:rPr>
          <w:rFonts w:ascii="Times New Roman" w:hAnsi="Times New Roman" w:cs="Times New Roman"/>
          <w:sz w:val="24"/>
          <w:szCs w:val="24"/>
        </w:rPr>
        <w:t>celkový objem emise 27 000 000,- Kč je rozdělen na 27 tis. ks akcií o jmenovité hodnotě 1 000,- Kč;</w:t>
      </w:r>
    </w:p>
    <w:p w:rsidR="00A34E6C" w:rsidRPr="00A34E6C" w:rsidRDefault="00A34E6C" w:rsidP="00A34E6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E6C">
        <w:rPr>
          <w:rFonts w:ascii="Times New Roman" w:hAnsi="Times New Roman" w:cs="Times New Roman"/>
          <w:sz w:val="24"/>
          <w:szCs w:val="24"/>
        </w:rPr>
        <w:t>akcie jsou na jméno, v listinné podobě, nejsou kótované;</w:t>
      </w:r>
    </w:p>
    <w:p w:rsidR="00A34E6C" w:rsidRPr="00A34E6C" w:rsidRDefault="00A34E6C" w:rsidP="00A34E6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E6C">
        <w:rPr>
          <w:rFonts w:ascii="Times New Roman" w:hAnsi="Times New Roman" w:cs="Times New Roman"/>
          <w:sz w:val="24"/>
          <w:szCs w:val="24"/>
        </w:rPr>
        <w:t>akcie jsou omezeně převoditelné – k převodu akcie na jinou osobu je nutný souhlas představenstva společnosti, akcionáři společnosti mají předkupní právo k akciím každý v poměru splacené jmenovité hodnoty svých akcií k základnímu kapitálu, které jsou povinni využít do 21 dnů po té, co se o volných akciích dozví;</w:t>
      </w:r>
    </w:p>
    <w:p w:rsidR="00A34E6C" w:rsidRPr="00A34E6C" w:rsidRDefault="00A34E6C" w:rsidP="00A34E6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E6C">
        <w:rPr>
          <w:rFonts w:ascii="Times New Roman" w:hAnsi="Times New Roman" w:cs="Times New Roman"/>
          <w:sz w:val="24"/>
          <w:szCs w:val="24"/>
        </w:rPr>
        <w:lastRenderedPageBreak/>
        <w:t>akcionář má právo na podíl na zisku společnosti (dividendě), který valná hromada podle výsledku hospodaření určila k rozdělení, právo účastnit se valné hromady, hlasovací právo, právo na likvidačním zůstatku;</w:t>
      </w:r>
    </w:p>
    <w:p w:rsidR="00A34E6C" w:rsidRPr="00A34E6C" w:rsidRDefault="00A34E6C" w:rsidP="00A34E6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E6C">
        <w:rPr>
          <w:rFonts w:ascii="Times New Roman" w:hAnsi="Times New Roman" w:cs="Times New Roman"/>
          <w:sz w:val="24"/>
          <w:szCs w:val="24"/>
        </w:rPr>
        <w:t>každých 1 000,- Kč jmenovité hodnoty představuje 1 hlas na valné hromadě;</w:t>
      </w:r>
    </w:p>
    <w:p w:rsidR="00A34E6C" w:rsidRPr="00A34E6C" w:rsidRDefault="00A34E6C" w:rsidP="00A34E6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E6C">
        <w:rPr>
          <w:rFonts w:ascii="Times New Roman" w:hAnsi="Times New Roman" w:cs="Times New Roman"/>
          <w:sz w:val="24"/>
          <w:szCs w:val="24"/>
        </w:rPr>
        <w:t>v předchozích letech nebyly vyplaceny žádné dividendy;</w:t>
      </w:r>
    </w:p>
    <w:p w:rsidR="00A34E6C" w:rsidRPr="00A34E6C" w:rsidRDefault="00A34E6C" w:rsidP="00A34E6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E6C">
        <w:rPr>
          <w:rFonts w:ascii="Times New Roman" w:hAnsi="Times New Roman" w:cs="Times New Roman"/>
          <w:sz w:val="24"/>
          <w:szCs w:val="24"/>
        </w:rPr>
        <w:t>o výplatě dividend rozhoduje na návrh představenstva valná hromada společnosti,</w:t>
      </w:r>
      <w:r w:rsidR="00863717">
        <w:rPr>
          <w:rFonts w:ascii="Times New Roman" w:hAnsi="Times New Roman" w:cs="Times New Roman"/>
          <w:sz w:val="24"/>
          <w:szCs w:val="24"/>
        </w:rPr>
        <w:t xml:space="preserve"> tento návrh musí být přezkoumán</w:t>
      </w:r>
      <w:r w:rsidRPr="00A34E6C">
        <w:rPr>
          <w:rFonts w:ascii="Times New Roman" w:hAnsi="Times New Roman" w:cs="Times New Roman"/>
          <w:sz w:val="24"/>
          <w:szCs w:val="24"/>
        </w:rPr>
        <w:t xml:space="preserve"> dozorčí radou společnosti. Nárok na výplatu dividendy vzniká všem akcionářům k rozhodnému dni. Datum rozhodné pro výplatu dividend je datum konání valné hromady, která o výplatě rozhodla.</w:t>
      </w:r>
    </w:p>
    <w:p w:rsidR="00697B98" w:rsidRPr="00A34E6C" w:rsidRDefault="00697B98" w:rsidP="00697B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4704" w:rsidRPr="001533AD" w:rsidRDefault="00A14704" w:rsidP="00A14704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533AD">
        <w:rPr>
          <w:rFonts w:ascii="Times New Roman" w:hAnsi="Times New Roman" w:cs="Times New Roman"/>
          <w:b/>
          <w:bCs/>
          <w:sz w:val="28"/>
          <w:szCs w:val="28"/>
          <w:u w:val="single"/>
        </w:rPr>
        <w:t>Představenstvo</w:t>
      </w:r>
      <w:r w:rsidR="001533AD" w:rsidRPr="001533A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tbl>
      <w:tblPr>
        <w:tblW w:w="0" w:type="auto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20"/>
        <w:gridCol w:w="2180"/>
        <w:gridCol w:w="1370"/>
        <w:gridCol w:w="992"/>
      </w:tblGrid>
      <w:tr w:rsidR="00A14704" w:rsidRPr="001533AD" w:rsidTr="001533AD">
        <w:trPr>
          <w:trHeight w:val="330"/>
        </w:trPr>
        <w:tc>
          <w:tcPr>
            <w:tcW w:w="4120" w:type="dxa"/>
          </w:tcPr>
          <w:p w:rsidR="00A14704" w:rsidRPr="001533AD" w:rsidRDefault="00A14704" w:rsidP="00A14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AD">
              <w:rPr>
                <w:rFonts w:ascii="Times New Roman" w:hAnsi="Times New Roman" w:cs="Times New Roman"/>
                <w:sz w:val="24"/>
                <w:szCs w:val="24"/>
              </w:rPr>
              <w:t>Jméno</w:t>
            </w:r>
            <w:r w:rsidR="00011BFA">
              <w:rPr>
                <w:rFonts w:ascii="Times New Roman" w:hAnsi="Times New Roman" w:cs="Times New Roman"/>
                <w:sz w:val="24"/>
                <w:szCs w:val="24"/>
              </w:rPr>
              <w:t>, příjmení a titul</w:t>
            </w:r>
          </w:p>
        </w:tc>
        <w:tc>
          <w:tcPr>
            <w:tcW w:w="2180" w:type="dxa"/>
          </w:tcPr>
          <w:p w:rsidR="00A14704" w:rsidRPr="001533AD" w:rsidRDefault="00A14704" w:rsidP="00A14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AD">
              <w:rPr>
                <w:rFonts w:ascii="Times New Roman" w:hAnsi="Times New Roman" w:cs="Times New Roman"/>
                <w:sz w:val="24"/>
                <w:szCs w:val="24"/>
              </w:rPr>
              <w:t>funkce</w:t>
            </w:r>
          </w:p>
        </w:tc>
        <w:tc>
          <w:tcPr>
            <w:tcW w:w="1370" w:type="dxa"/>
          </w:tcPr>
          <w:p w:rsidR="00A14704" w:rsidRPr="001533AD" w:rsidRDefault="005F0948" w:rsidP="00A14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33A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14704" w:rsidRPr="001533A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</w:p>
        </w:tc>
        <w:tc>
          <w:tcPr>
            <w:tcW w:w="992" w:type="dxa"/>
          </w:tcPr>
          <w:p w:rsidR="00A14704" w:rsidRPr="001533AD" w:rsidRDefault="00A14704" w:rsidP="00A14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33AD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gramEnd"/>
          </w:p>
        </w:tc>
      </w:tr>
      <w:tr w:rsidR="001533AD" w:rsidRPr="001533AD" w:rsidTr="001533AD">
        <w:trPr>
          <w:trHeight w:val="315"/>
        </w:trPr>
        <w:tc>
          <w:tcPr>
            <w:tcW w:w="4120" w:type="dxa"/>
          </w:tcPr>
          <w:p w:rsidR="001533AD" w:rsidRPr="001533AD" w:rsidRDefault="001533AD" w:rsidP="0040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AD">
              <w:rPr>
                <w:rFonts w:ascii="Times New Roman" w:hAnsi="Times New Roman" w:cs="Times New Roman"/>
                <w:sz w:val="24"/>
                <w:szCs w:val="24"/>
              </w:rPr>
              <w:t>Karel Janeček, PhD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0" w:type="dxa"/>
          </w:tcPr>
          <w:p w:rsidR="001533AD" w:rsidRPr="001533AD" w:rsidRDefault="001533AD" w:rsidP="0040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AD">
              <w:rPr>
                <w:rFonts w:ascii="Times New Roman" w:hAnsi="Times New Roman" w:cs="Times New Roman"/>
                <w:sz w:val="24"/>
                <w:szCs w:val="24"/>
              </w:rPr>
              <w:t>předseda</w:t>
            </w:r>
          </w:p>
        </w:tc>
        <w:tc>
          <w:tcPr>
            <w:tcW w:w="1370" w:type="dxa"/>
          </w:tcPr>
          <w:p w:rsidR="001533AD" w:rsidRPr="001533AD" w:rsidRDefault="001533AD" w:rsidP="0040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33AD">
              <w:rPr>
                <w:rFonts w:ascii="Times New Roman" w:hAnsi="Times New Roman" w:cs="Times New Roman"/>
                <w:sz w:val="24"/>
                <w:szCs w:val="24"/>
              </w:rPr>
              <w:t>23.2.2010</w:t>
            </w:r>
            <w:proofErr w:type="gramEnd"/>
          </w:p>
        </w:tc>
        <w:tc>
          <w:tcPr>
            <w:tcW w:w="992" w:type="dxa"/>
          </w:tcPr>
          <w:p w:rsidR="001533AD" w:rsidRPr="001533AD" w:rsidRDefault="001533AD" w:rsidP="0040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dosud</w:t>
            </w:r>
            <w:proofErr w:type="spellEnd"/>
          </w:p>
        </w:tc>
      </w:tr>
      <w:tr w:rsidR="001533AD" w:rsidRPr="001533AD" w:rsidTr="001533AD">
        <w:trPr>
          <w:trHeight w:val="315"/>
        </w:trPr>
        <w:tc>
          <w:tcPr>
            <w:tcW w:w="4120" w:type="dxa"/>
          </w:tcPr>
          <w:p w:rsidR="001533AD" w:rsidRPr="001533AD" w:rsidRDefault="001533AD" w:rsidP="00A14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33AD">
              <w:rPr>
                <w:rFonts w:ascii="Times New Roman" w:hAnsi="Times New Roman" w:cs="Times New Roman"/>
                <w:sz w:val="24"/>
                <w:szCs w:val="24"/>
              </w:rPr>
              <w:t>Ing.Libor</w:t>
            </w:r>
            <w:proofErr w:type="spellEnd"/>
            <w:proofErr w:type="gramEnd"/>
            <w:r w:rsidRPr="001533AD">
              <w:rPr>
                <w:rFonts w:ascii="Times New Roman" w:hAnsi="Times New Roman" w:cs="Times New Roman"/>
                <w:sz w:val="24"/>
                <w:szCs w:val="24"/>
              </w:rPr>
              <w:t xml:space="preserve"> Winkler, CSc.</w:t>
            </w:r>
          </w:p>
        </w:tc>
        <w:tc>
          <w:tcPr>
            <w:tcW w:w="2180" w:type="dxa"/>
          </w:tcPr>
          <w:p w:rsidR="001533AD" w:rsidRPr="001533AD" w:rsidRDefault="001533AD" w:rsidP="00A14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AD">
              <w:rPr>
                <w:rFonts w:ascii="Times New Roman" w:hAnsi="Times New Roman" w:cs="Times New Roman"/>
                <w:sz w:val="24"/>
                <w:szCs w:val="24"/>
              </w:rPr>
              <w:t>člen</w:t>
            </w:r>
          </w:p>
        </w:tc>
        <w:tc>
          <w:tcPr>
            <w:tcW w:w="1370" w:type="dxa"/>
          </w:tcPr>
          <w:p w:rsidR="001533AD" w:rsidRPr="001533AD" w:rsidRDefault="009010CE" w:rsidP="00A14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13.07.2006</w:t>
            </w:r>
            <w:proofErr w:type="gramEnd"/>
          </w:p>
        </w:tc>
        <w:tc>
          <w:tcPr>
            <w:tcW w:w="992" w:type="dxa"/>
          </w:tcPr>
          <w:p w:rsidR="001533AD" w:rsidRPr="001533AD" w:rsidRDefault="001533AD" w:rsidP="00A14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dosud</w:t>
            </w:r>
            <w:proofErr w:type="spellEnd"/>
          </w:p>
        </w:tc>
      </w:tr>
      <w:tr w:rsidR="001533AD" w:rsidRPr="001533AD" w:rsidTr="001533AD">
        <w:trPr>
          <w:trHeight w:val="315"/>
        </w:trPr>
        <w:tc>
          <w:tcPr>
            <w:tcW w:w="4120" w:type="dxa"/>
          </w:tcPr>
          <w:p w:rsidR="001533AD" w:rsidRPr="001533AD" w:rsidRDefault="001533AD" w:rsidP="0040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33AD">
              <w:rPr>
                <w:rFonts w:ascii="Times New Roman" w:hAnsi="Times New Roman" w:cs="Times New Roman"/>
                <w:sz w:val="24"/>
                <w:szCs w:val="24"/>
              </w:rPr>
              <w:t>Ing..Michal</w:t>
            </w:r>
            <w:proofErr w:type="gramEnd"/>
            <w:r w:rsidRPr="00153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3AD">
              <w:rPr>
                <w:rFonts w:ascii="Times New Roman" w:hAnsi="Times New Roman" w:cs="Times New Roman"/>
                <w:sz w:val="24"/>
                <w:szCs w:val="24"/>
              </w:rPr>
              <w:t>Šaňák</w:t>
            </w:r>
            <w:proofErr w:type="spellEnd"/>
          </w:p>
        </w:tc>
        <w:tc>
          <w:tcPr>
            <w:tcW w:w="2180" w:type="dxa"/>
          </w:tcPr>
          <w:p w:rsidR="001533AD" w:rsidRPr="001533AD" w:rsidRDefault="001533AD" w:rsidP="0040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AD">
              <w:rPr>
                <w:rFonts w:ascii="Times New Roman" w:hAnsi="Times New Roman" w:cs="Times New Roman"/>
                <w:sz w:val="24"/>
                <w:szCs w:val="24"/>
              </w:rPr>
              <w:t xml:space="preserve">člen </w:t>
            </w:r>
          </w:p>
        </w:tc>
        <w:tc>
          <w:tcPr>
            <w:tcW w:w="1370" w:type="dxa"/>
          </w:tcPr>
          <w:p w:rsidR="001533AD" w:rsidRPr="001533AD" w:rsidRDefault="001533AD" w:rsidP="0040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33AD">
              <w:rPr>
                <w:rFonts w:ascii="Times New Roman" w:hAnsi="Times New Roman" w:cs="Times New Roman"/>
                <w:sz w:val="24"/>
                <w:szCs w:val="24"/>
              </w:rPr>
              <w:t>6.2.2009</w:t>
            </w:r>
            <w:proofErr w:type="gramEnd"/>
          </w:p>
        </w:tc>
        <w:tc>
          <w:tcPr>
            <w:tcW w:w="992" w:type="dxa"/>
          </w:tcPr>
          <w:p w:rsidR="001533AD" w:rsidRPr="001533AD" w:rsidRDefault="001533AD" w:rsidP="0040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AD">
              <w:rPr>
                <w:rFonts w:ascii="Times New Roman" w:hAnsi="Times New Roman" w:cs="Times New Roman"/>
                <w:sz w:val="24"/>
                <w:szCs w:val="24"/>
              </w:rPr>
              <w:t>dosud</w:t>
            </w:r>
          </w:p>
        </w:tc>
      </w:tr>
    </w:tbl>
    <w:p w:rsidR="00A14704" w:rsidRDefault="00A14704" w:rsidP="00A1470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533AD" w:rsidRPr="001533AD" w:rsidRDefault="001533AD" w:rsidP="001533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3AD">
        <w:rPr>
          <w:rFonts w:ascii="Times New Roman" w:hAnsi="Times New Roman" w:cs="Times New Roman"/>
          <w:b/>
          <w:sz w:val="24"/>
          <w:szCs w:val="24"/>
        </w:rPr>
        <w:t>Karel Janeček, PhD.</w:t>
      </w:r>
    </w:p>
    <w:p w:rsidR="0089296E" w:rsidRDefault="001533AD" w:rsidP="001533AD">
      <w:pPr>
        <w:jc w:val="both"/>
        <w:rPr>
          <w:rFonts w:ascii="Times New Roman" w:hAnsi="Times New Roman" w:cs="Times New Roman"/>
          <w:sz w:val="24"/>
          <w:szCs w:val="24"/>
        </w:rPr>
      </w:pPr>
      <w:r w:rsidRPr="001533AD">
        <w:rPr>
          <w:rFonts w:ascii="Times New Roman" w:hAnsi="Times New Roman" w:cs="Times New Roman"/>
          <w:sz w:val="24"/>
          <w:szCs w:val="24"/>
        </w:rPr>
        <w:t xml:space="preserve">Je zakladatelem společnosti RSJ a zároveň jejím největším akcionářem. Ve společnosti zodpovídá za obchodování na </w:t>
      </w:r>
      <w:proofErr w:type="spellStart"/>
      <w:r w:rsidRPr="001533AD">
        <w:rPr>
          <w:rFonts w:ascii="Times New Roman" w:hAnsi="Times New Roman" w:cs="Times New Roman"/>
          <w:sz w:val="24"/>
          <w:szCs w:val="24"/>
        </w:rPr>
        <w:t>derivátových</w:t>
      </w:r>
      <w:proofErr w:type="spellEnd"/>
      <w:r w:rsidRPr="001533AD">
        <w:rPr>
          <w:rFonts w:ascii="Times New Roman" w:hAnsi="Times New Roman" w:cs="Times New Roman"/>
          <w:sz w:val="24"/>
          <w:szCs w:val="24"/>
        </w:rPr>
        <w:t xml:space="preserve"> burzách. Vytváří matematické modely, stanovuje investiční strategii a podílí se na vyhledávání nových příležitostí. Publikuje v prestižních vědeckých časopisech v oblasti aplikací stochastické analýzy a přednáší na Matematicko-fyzikální fakultě Univerzity Karlovy. Je absolventem </w:t>
      </w:r>
      <w:proofErr w:type="spellStart"/>
      <w:r w:rsidRPr="001533AD">
        <w:rPr>
          <w:rFonts w:ascii="Times New Roman" w:hAnsi="Times New Roman" w:cs="Times New Roman"/>
          <w:sz w:val="24"/>
          <w:szCs w:val="24"/>
        </w:rPr>
        <w:t>Matematicko</w:t>
      </w:r>
      <w:proofErr w:type="spellEnd"/>
      <w:r w:rsidRPr="001533AD">
        <w:rPr>
          <w:rFonts w:ascii="Times New Roman" w:hAnsi="Times New Roman" w:cs="Times New Roman"/>
          <w:sz w:val="24"/>
          <w:szCs w:val="24"/>
        </w:rPr>
        <w:t xml:space="preserve"> fyzikální fakulty University Karlovy v Praze - obor matematika a teorie pravděpodobnosti. Je také absolventem Bradly University, </w:t>
      </w:r>
      <w:proofErr w:type="spellStart"/>
      <w:r w:rsidRPr="001533AD">
        <w:rPr>
          <w:rFonts w:ascii="Times New Roman" w:hAnsi="Times New Roman" w:cs="Times New Roman"/>
          <w:sz w:val="24"/>
          <w:szCs w:val="24"/>
        </w:rPr>
        <w:t>Peoria</w:t>
      </w:r>
      <w:proofErr w:type="spellEnd"/>
      <w:r w:rsidRPr="001533AD">
        <w:rPr>
          <w:rFonts w:ascii="Times New Roman" w:hAnsi="Times New Roman" w:cs="Times New Roman"/>
          <w:sz w:val="24"/>
          <w:szCs w:val="24"/>
        </w:rPr>
        <w:t xml:space="preserve"> v USA – obor finance. V roce 2004 úspěšně dokončil postgraduální studium na Carnegie </w:t>
      </w:r>
      <w:proofErr w:type="spellStart"/>
      <w:r w:rsidRPr="001533AD">
        <w:rPr>
          <w:rFonts w:ascii="Times New Roman" w:hAnsi="Times New Roman" w:cs="Times New Roman"/>
          <w:sz w:val="24"/>
          <w:szCs w:val="24"/>
        </w:rPr>
        <w:t>Mellon</w:t>
      </w:r>
      <w:proofErr w:type="spellEnd"/>
      <w:r w:rsidRPr="001533AD">
        <w:rPr>
          <w:rFonts w:ascii="Times New Roman" w:hAnsi="Times New Roman" w:cs="Times New Roman"/>
          <w:sz w:val="24"/>
          <w:szCs w:val="24"/>
        </w:rPr>
        <w:t xml:space="preserve"> University, Pittsburgh v USA a získal titul PhD. Je držitelem Certifikátu </w:t>
      </w:r>
      <w:proofErr w:type="spellStart"/>
      <w:r w:rsidRPr="001533AD">
        <w:rPr>
          <w:rFonts w:ascii="Times New Roman" w:hAnsi="Times New Roman" w:cs="Times New Roman"/>
          <w:sz w:val="24"/>
          <w:szCs w:val="24"/>
        </w:rPr>
        <w:t>Treasury</w:t>
      </w:r>
      <w:proofErr w:type="spellEnd"/>
      <w:r w:rsidRPr="001533AD">
        <w:rPr>
          <w:rFonts w:ascii="Times New Roman" w:hAnsi="Times New Roman" w:cs="Times New Roman"/>
          <w:sz w:val="24"/>
          <w:szCs w:val="24"/>
        </w:rPr>
        <w:t xml:space="preserve"> Bond &amp; </w:t>
      </w:r>
      <w:proofErr w:type="spellStart"/>
      <w:r w:rsidRPr="001533AD">
        <w:rPr>
          <w:rFonts w:ascii="Times New Roman" w:hAnsi="Times New Roman" w:cs="Times New Roman"/>
          <w:sz w:val="24"/>
          <w:szCs w:val="24"/>
        </w:rPr>
        <w:t>Note</w:t>
      </w:r>
      <w:proofErr w:type="spellEnd"/>
      <w:r w:rsidRPr="00153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3AD">
        <w:rPr>
          <w:rFonts w:ascii="Times New Roman" w:hAnsi="Times New Roman" w:cs="Times New Roman"/>
          <w:sz w:val="24"/>
          <w:szCs w:val="24"/>
        </w:rPr>
        <w:t>Futures</w:t>
      </w:r>
      <w:proofErr w:type="spellEnd"/>
      <w:r w:rsidRPr="001533A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533AD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Pr="00153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3AD">
        <w:rPr>
          <w:rFonts w:ascii="Times New Roman" w:hAnsi="Times New Roman" w:cs="Times New Roman"/>
          <w:sz w:val="24"/>
          <w:szCs w:val="24"/>
        </w:rPr>
        <w:t>Futures</w:t>
      </w:r>
      <w:proofErr w:type="spellEnd"/>
      <w:r w:rsidRPr="001533AD">
        <w:rPr>
          <w:rFonts w:ascii="Times New Roman" w:hAnsi="Times New Roman" w:cs="Times New Roman"/>
          <w:sz w:val="24"/>
          <w:szCs w:val="24"/>
        </w:rPr>
        <w:t xml:space="preserve"> společnosti </w:t>
      </w:r>
      <w:proofErr w:type="spellStart"/>
      <w:r w:rsidRPr="001533AD">
        <w:rPr>
          <w:rFonts w:ascii="Times New Roman" w:hAnsi="Times New Roman" w:cs="Times New Roman"/>
          <w:sz w:val="24"/>
          <w:szCs w:val="24"/>
        </w:rPr>
        <w:t>Carrtfutures</w:t>
      </w:r>
      <w:proofErr w:type="spellEnd"/>
      <w:r w:rsidRPr="001533AD">
        <w:rPr>
          <w:rFonts w:ascii="Times New Roman" w:hAnsi="Times New Roman" w:cs="Times New Roman"/>
          <w:sz w:val="24"/>
          <w:szCs w:val="24"/>
        </w:rPr>
        <w:t xml:space="preserve"> (New York). Je držitelem makléřské licence kategorie I., II., III. (od roku 1995 - kategorie I., II., od roku 2002 - kategorie III.). Čtyři roky byl členem dozorčí rady RSJ Invest, a.s., tři roky členem představenstva a nyní je předsedou představenstva.</w:t>
      </w:r>
      <w:r w:rsidR="005914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96E" w:rsidRDefault="0089296E" w:rsidP="008929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Členství v orgánech jiných právnických osob:</w:t>
      </w:r>
    </w:p>
    <w:p w:rsidR="0089296E" w:rsidRDefault="0089296E" w:rsidP="00892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Funkce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Vznik funkce</w:t>
      </w:r>
    </w:p>
    <w:p w:rsidR="0089296E" w:rsidRPr="001533AD" w:rsidRDefault="0089296E" w:rsidP="00892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5P uzavřený investiční fond, a.s.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člen dozorčí rady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08.07.2010</w:t>
      </w:r>
      <w:proofErr w:type="gramEnd"/>
    </w:p>
    <w:p w:rsidR="0089296E" w:rsidRDefault="0087167F" w:rsidP="00892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NF </w:t>
      </w:r>
      <w:r w:rsidR="0089296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9296E">
        <w:rPr>
          <w:rFonts w:ascii="Times New Roman" w:hAnsi="Times New Roman" w:cs="Times New Roman"/>
          <w:sz w:val="24"/>
          <w:szCs w:val="24"/>
        </w:rPr>
        <w:t>Janečka</w:t>
      </w:r>
      <w:r w:rsidR="00A2537E">
        <w:rPr>
          <w:rFonts w:ascii="Times New Roman" w:hAnsi="Times New Roman" w:cs="Times New Roman"/>
          <w:sz w:val="24"/>
          <w:szCs w:val="24"/>
        </w:rPr>
        <w:t xml:space="preserve"> na  podporu</w:t>
      </w:r>
      <w:r>
        <w:rPr>
          <w:rFonts w:ascii="Times New Roman" w:hAnsi="Times New Roman" w:cs="Times New Roman"/>
          <w:sz w:val="24"/>
          <w:szCs w:val="24"/>
        </w:rPr>
        <w:t xml:space="preserve"> vědy</w:t>
      </w:r>
      <w:r>
        <w:rPr>
          <w:rFonts w:ascii="Times New Roman" w:hAnsi="Times New Roman" w:cs="Times New Roman"/>
          <w:sz w:val="24"/>
          <w:szCs w:val="24"/>
        </w:rPr>
        <w:tab/>
      </w:r>
      <w:r w:rsidR="00A2537E">
        <w:rPr>
          <w:rFonts w:ascii="Times New Roman" w:hAnsi="Times New Roman" w:cs="Times New Roman"/>
          <w:sz w:val="24"/>
          <w:szCs w:val="24"/>
        </w:rPr>
        <w:t xml:space="preserve"> </w:t>
      </w:r>
      <w:r w:rsidR="00A2537E">
        <w:rPr>
          <w:rFonts w:ascii="Times New Roman" w:hAnsi="Times New Roman" w:cs="Times New Roman"/>
          <w:sz w:val="24"/>
          <w:szCs w:val="24"/>
        </w:rPr>
        <w:tab/>
        <w:t xml:space="preserve">člen správní rady   </w:t>
      </w:r>
      <w:r w:rsidR="00BD2D7A">
        <w:rPr>
          <w:rFonts w:ascii="Times New Roman" w:hAnsi="Times New Roman" w:cs="Times New Roman"/>
          <w:sz w:val="24"/>
          <w:szCs w:val="24"/>
        </w:rPr>
        <w:tab/>
      </w:r>
      <w:r w:rsidR="00BD2D7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D2D7A">
        <w:rPr>
          <w:rFonts w:ascii="Times New Roman" w:hAnsi="Times New Roman" w:cs="Times New Roman"/>
          <w:sz w:val="24"/>
          <w:szCs w:val="24"/>
        </w:rPr>
        <w:t>11.06.2010</w:t>
      </w:r>
      <w:proofErr w:type="gramEnd"/>
    </w:p>
    <w:p w:rsidR="0089296E" w:rsidRDefault="0089296E" w:rsidP="001533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4704" w:rsidRPr="001533AD" w:rsidRDefault="00A14704" w:rsidP="00A147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3AD">
        <w:rPr>
          <w:rFonts w:ascii="Times New Roman" w:hAnsi="Times New Roman" w:cs="Times New Roman"/>
          <w:b/>
          <w:sz w:val="24"/>
          <w:szCs w:val="24"/>
        </w:rPr>
        <w:t>Ing. Libor Winkler, CSc.</w:t>
      </w:r>
    </w:p>
    <w:p w:rsidR="00CF2A87" w:rsidRDefault="00A14704" w:rsidP="00B977BC">
      <w:pPr>
        <w:jc w:val="both"/>
        <w:rPr>
          <w:rFonts w:ascii="Times New Roman" w:hAnsi="Times New Roman" w:cs="Times New Roman"/>
          <w:sz w:val="24"/>
          <w:szCs w:val="24"/>
        </w:rPr>
      </w:pPr>
      <w:r w:rsidRPr="001533AD">
        <w:rPr>
          <w:rFonts w:ascii="Times New Roman" w:hAnsi="Times New Roman" w:cs="Times New Roman"/>
          <w:sz w:val="24"/>
          <w:szCs w:val="24"/>
        </w:rPr>
        <w:t xml:space="preserve">Je akcionářem RSJ, podílí se na strategickém řízení společnosti. V praxi zúročuje svoje hluboké zkušenosti s řízením burzovního obchodníka a budováním </w:t>
      </w:r>
      <w:proofErr w:type="spellStart"/>
      <w:r w:rsidRPr="001533AD">
        <w:rPr>
          <w:rFonts w:ascii="Times New Roman" w:hAnsi="Times New Roman" w:cs="Times New Roman"/>
          <w:sz w:val="24"/>
          <w:szCs w:val="24"/>
        </w:rPr>
        <w:t>back</w:t>
      </w:r>
      <w:proofErr w:type="spellEnd"/>
      <w:r w:rsidRPr="001533AD">
        <w:rPr>
          <w:rFonts w:ascii="Times New Roman" w:hAnsi="Times New Roman" w:cs="Times New Roman"/>
          <w:sz w:val="24"/>
          <w:szCs w:val="24"/>
        </w:rPr>
        <w:t>-office, účetního a provozního zázemí. V RSJ je zodpovědný za řízení rizik. Je absolvent Vysoké školy zemědělské v Brně, v letech 1990 – 93 se zabýval studiem matematické informatiky na Masarykově univerzitě. Je držitelem makléřské licence (</w:t>
      </w:r>
      <w:proofErr w:type="gramStart"/>
      <w:r w:rsidRPr="001533AD">
        <w:rPr>
          <w:rFonts w:ascii="Times New Roman" w:hAnsi="Times New Roman" w:cs="Times New Roman"/>
          <w:sz w:val="24"/>
          <w:szCs w:val="24"/>
        </w:rPr>
        <w:t>kategorie I.,II</w:t>
      </w:r>
      <w:proofErr w:type="gramEnd"/>
      <w:r w:rsidRPr="001533AD">
        <w:rPr>
          <w:rFonts w:ascii="Times New Roman" w:hAnsi="Times New Roman" w:cs="Times New Roman"/>
          <w:sz w:val="24"/>
          <w:szCs w:val="24"/>
        </w:rPr>
        <w:t>.,III. ) od roku 1993. Má jedenáct let praxe na tuzemských a šest let na zahraničních finančních trzích jako hlavní makléř. Tři roky působil jako člen dozorčí rady u obchodníka s c</w:t>
      </w:r>
      <w:r w:rsidR="000A3F6E">
        <w:rPr>
          <w:rFonts w:ascii="Times New Roman" w:hAnsi="Times New Roman" w:cs="Times New Roman"/>
          <w:sz w:val="24"/>
          <w:szCs w:val="24"/>
        </w:rPr>
        <w:t xml:space="preserve">ennými papíry </w:t>
      </w:r>
      <w:proofErr w:type="spellStart"/>
      <w:r w:rsidR="000A3F6E">
        <w:rPr>
          <w:rFonts w:ascii="Times New Roman" w:hAnsi="Times New Roman" w:cs="Times New Roman"/>
          <w:sz w:val="24"/>
          <w:szCs w:val="24"/>
        </w:rPr>
        <w:t>Katnek</w:t>
      </w:r>
      <w:proofErr w:type="spellEnd"/>
      <w:r w:rsidR="000A3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F6E">
        <w:rPr>
          <w:rFonts w:ascii="Times New Roman" w:hAnsi="Times New Roman" w:cs="Times New Roman"/>
          <w:sz w:val="24"/>
          <w:szCs w:val="24"/>
        </w:rPr>
        <w:t>Securities</w:t>
      </w:r>
      <w:proofErr w:type="spellEnd"/>
      <w:r w:rsidR="000A3F6E">
        <w:rPr>
          <w:rFonts w:ascii="Times New Roman" w:hAnsi="Times New Roman" w:cs="Times New Roman"/>
          <w:sz w:val="24"/>
          <w:szCs w:val="24"/>
        </w:rPr>
        <w:t xml:space="preserve">. V letech 2000-2001 působil jako jednatel společnosti RSJ Invest, spol. s r.o., </w:t>
      </w:r>
      <w:proofErr w:type="gramStart"/>
      <w:r w:rsidR="00D906C6">
        <w:rPr>
          <w:rFonts w:ascii="Times New Roman" w:hAnsi="Times New Roman" w:cs="Times New Roman"/>
          <w:sz w:val="24"/>
          <w:szCs w:val="24"/>
        </w:rPr>
        <w:t>následují</w:t>
      </w:r>
      <w:r w:rsidR="001556DD">
        <w:rPr>
          <w:rFonts w:ascii="Times New Roman" w:hAnsi="Times New Roman" w:cs="Times New Roman"/>
          <w:sz w:val="24"/>
          <w:szCs w:val="24"/>
        </w:rPr>
        <w:t>cí</w:t>
      </w:r>
      <w:r w:rsidR="00D906C6">
        <w:rPr>
          <w:rFonts w:ascii="Times New Roman" w:hAnsi="Times New Roman" w:cs="Times New Roman"/>
          <w:sz w:val="24"/>
          <w:szCs w:val="24"/>
        </w:rPr>
        <w:t xml:space="preserve">ch </w:t>
      </w:r>
      <w:r w:rsidR="000A3F6E">
        <w:rPr>
          <w:rFonts w:ascii="Times New Roman" w:hAnsi="Times New Roman" w:cs="Times New Roman"/>
          <w:sz w:val="24"/>
          <w:szCs w:val="24"/>
        </w:rPr>
        <w:t xml:space="preserve">  devět</w:t>
      </w:r>
      <w:proofErr w:type="gramEnd"/>
      <w:r w:rsidR="000A3F6E">
        <w:rPr>
          <w:rFonts w:ascii="Times New Roman" w:hAnsi="Times New Roman" w:cs="Times New Roman"/>
          <w:sz w:val="24"/>
          <w:szCs w:val="24"/>
        </w:rPr>
        <w:t xml:space="preserve"> </w:t>
      </w:r>
      <w:r w:rsidRPr="001533AD">
        <w:rPr>
          <w:rFonts w:ascii="Times New Roman" w:hAnsi="Times New Roman" w:cs="Times New Roman"/>
          <w:sz w:val="24"/>
          <w:szCs w:val="24"/>
        </w:rPr>
        <w:t xml:space="preserve">let </w:t>
      </w:r>
      <w:r w:rsidR="00D906C6">
        <w:rPr>
          <w:rFonts w:ascii="Times New Roman" w:hAnsi="Times New Roman" w:cs="Times New Roman"/>
          <w:sz w:val="24"/>
          <w:szCs w:val="24"/>
        </w:rPr>
        <w:t xml:space="preserve">působil </w:t>
      </w:r>
      <w:r w:rsidRPr="001533AD">
        <w:rPr>
          <w:rFonts w:ascii="Times New Roman" w:hAnsi="Times New Roman" w:cs="Times New Roman"/>
          <w:sz w:val="24"/>
          <w:szCs w:val="24"/>
        </w:rPr>
        <w:t xml:space="preserve"> jako předseda představenstva společnosti RSJ Invest, a.s., nyní je členem představenstva.</w:t>
      </w:r>
      <w:r w:rsidR="00B977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A87" w:rsidRDefault="00CF2A87" w:rsidP="00CF2A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Členství v orgánech jiných právnických osob:</w:t>
      </w:r>
    </w:p>
    <w:p w:rsidR="00CF2A87" w:rsidRDefault="00CF2A87" w:rsidP="0089296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Funkce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Vznik funkce</w:t>
      </w:r>
    </w:p>
    <w:p w:rsidR="00CF2A87" w:rsidRDefault="00CF2A87" w:rsidP="0089296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5P uzavřený investiční fond, a.s.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předseda</w:t>
      </w:r>
      <w:r w:rsidR="0089296E">
        <w:rPr>
          <w:rFonts w:ascii="Times New Roman" w:hAnsi="Times New Roman" w:cs="Times New Roman"/>
          <w:sz w:val="24"/>
          <w:szCs w:val="24"/>
        </w:rPr>
        <w:t xml:space="preserve"> dozorčí rady  </w:t>
      </w:r>
      <w:r w:rsidR="0089296E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08.07.2010</w:t>
      </w:r>
      <w:proofErr w:type="gramEnd"/>
    </w:p>
    <w:p w:rsidR="003C0D78" w:rsidRPr="001533AD" w:rsidRDefault="003C0D78" w:rsidP="0089296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Enosfera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společník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19.09.2007</w:t>
      </w:r>
      <w:proofErr w:type="gramEnd"/>
    </w:p>
    <w:p w:rsidR="00A14704" w:rsidRPr="001533AD" w:rsidRDefault="00A14704" w:rsidP="00A147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3AD">
        <w:rPr>
          <w:rFonts w:ascii="Times New Roman" w:hAnsi="Times New Roman" w:cs="Times New Roman"/>
          <w:b/>
          <w:sz w:val="24"/>
          <w:szCs w:val="24"/>
        </w:rPr>
        <w:t xml:space="preserve">Ing. Michal </w:t>
      </w:r>
      <w:proofErr w:type="spellStart"/>
      <w:r w:rsidRPr="001533AD">
        <w:rPr>
          <w:rFonts w:ascii="Times New Roman" w:hAnsi="Times New Roman" w:cs="Times New Roman"/>
          <w:b/>
          <w:sz w:val="24"/>
          <w:szCs w:val="24"/>
        </w:rPr>
        <w:t>Šaňák</w:t>
      </w:r>
      <w:proofErr w:type="spellEnd"/>
    </w:p>
    <w:p w:rsidR="00A14704" w:rsidRDefault="00A14704" w:rsidP="00A14704">
      <w:pPr>
        <w:jc w:val="both"/>
        <w:rPr>
          <w:rFonts w:ascii="Times New Roman" w:hAnsi="Times New Roman" w:cs="Times New Roman"/>
          <w:sz w:val="24"/>
          <w:szCs w:val="24"/>
        </w:rPr>
      </w:pPr>
      <w:r w:rsidRPr="001533AD">
        <w:rPr>
          <w:rFonts w:ascii="Times New Roman" w:hAnsi="Times New Roman" w:cs="Times New Roman"/>
          <w:sz w:val="24"/>
          <w:szCs w:val="24"/>
        </w:rPr>
        <w:t xml:space="preserve">V RSJ pracuje na pozici ředitele informačních </w:t>
      </w:r>
      <w:proofErr w:type="spellStart"/>
      <w:r w:rsidRPr="001533AD">
        <w:rPr>
          <w:rFonts w:ascii="Times New Roman" w:hAnsi="Times New Roman" w:cs="Times New Roman"/>
          <w:sz w:val="24"/>
          <w:szCs w:val="24"/>
        </w:rPr>
        <w:t>technologíí</w:t>
      </w:r>
      <w:proofErr w:type="spellEnd"/>
      <w:r w:rsidRPr="001533AD">
        <w:rPr>
          <w:rFonts w:ascii="Times New Roman" w:hAnsi="Times New Roman" w:cs="Times New Roman"/>
          <w:sz w:val="24"/>
          <w:szCs w:val="24"/>
        </w:rPr>
        <w:t xml:space="preserve">.  Ve společnosti působí od roku 2001, kdy se podílel na zahájení algoritmického obchodování RSJ. Od počátku se věnoval tvorbě technologického zázemí společnosti, zejména vývoji </w:t>
      </w:r>
      <w:proofErr w:type="spellStart"/>
      <w:r w:rsidRPr="001533AD">
        <w:rPr>
          <w:rFonts w:ascii="Times New Roman" w:hAnsi="Times New Roman" w:cs="Times New Roman"/>
          <w:sz w:val="24"/>
          <w:szCs w:val="24"/>
        </w:rPr>
        <w:t>blackboxů</w:t>
      </w:r>
      <w:proofErr w:type="spellEnd"/>
      <w:r w:rsidRPr="001533AD">
        <w:rPr>
          <w:rFonts w:ascii="Times New Roman" w:hAnsi="Times New Roman" w:cs="Times New Roman"/>
          <w:sz w:val="24"/>
          <w:szCs w:val="24"/>
        </w:rPr>
        <w:t xml:space="preserve"> a budování veškeré technologické infrastruktury. Je akcionářem RSJ. Odpovídá za celou infrastrukturu pro algoritmické obchodování v oblasti technologií a komunikací, což představuje zejména návrh a vývoj vlastních systémů a veškeré vztahy s burzami a třetími stranami. Je absolventem VŠE v Praze se specializací na informační technologie, peněžní ekonomii a bankovnictví. </w:t>
      </w:r>
      <w:r w:rsidR="00333A13">
        <w:rPr>
          <w:rFonts w:ascii="Times New Roman" w:hAnsi="Times New Roman" w:cs="Times New Roman"/>
          <w:sz w:val="24"/>
          <w:szCs w:val="24"/>
        </w:rPr>
        <w:t xml:space="preserve">Nyní je členem představenstva. </w:t>
      </w:r>
      <w:r w:rsidR="00A40C33">
        <w:rPr>
          <w:rFonts w:ascii="Times New Roman" w:hAnsi="Times New Roman" w:cs="Times New Roman"/>
          <w:sz w:val="24"/>
          <w:szCs w:val="24"/>
        </w:rPr>
        <w:t xml:space="preserve">V současné době nemá členství v orgánech jiných právnických osob. </w:t>
      </w:r>
    </w:p>
    <w:p w:rsidR="001A7CFF" w:rsidRDefault="001A7CFF" w:rsidP="001A7C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Souhrnná výše úvěrů poskytnutých Společností členům představenstva: </w:t>
      </w:r>
    </w:p>
    <w:p w:rsidR="001A7CFF" w:rsidRDefault="001A7CFF" w:rsidP="001A7CF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žádné úvěry nebyly poskytnuty</w:t>
      </w:r>
    </w:p>
    <w:p w:rsidR="001A7CFF" w:rsidRDefault="001A7CFF" w:rsidP="001A7C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Souhrnná výše záruk vydaných Společností za členy představenstva: </w:t>
      </w:r>
    </w:p>
    <w:p w:rsidR="001A7CFF" w:rsidRDefault="001A7CFF" w:rsidP="001A7CF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žádné záruky nebyly vydány</w:t>
      </w:r>
    </w:p>
    <w:p w:rsidR="001A7CFF" w:rsidRDefault="001A7CFF" w:rsidP="00A147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5026" w:rsidRDefault="00615026" w:rsidP="00A147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948" w:rsidRDefault="005F0948" w:rsidP="00A147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948" w:rsidRPr="001533AD" w:rsidRDefault="005F0948" w:rsidP="00A147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4704" w:rsidRPr="001533AD" w:rsidRDefault="001533AD" w:rsidP="00A1470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33A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Dozorčí rada:</w:t>
      </w: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20"/>
        <w:gridCol w:w="2132"/>
        <w:gridCol w:w="1248"/>
        <w:gridCol w:w="1162"/>
      </w:tblGrid>
      <w:tr w:rsidR="00A14704" w:rsidRPr="001533AD" w:rsidTr="009010CE">
        <w:trPr>
          <w:trHeight w:val="330"/>
        </w:trPr>
        <w:tc>
          <w:tcPr>
            <w:tcW w:w="4120" w:type="dxa"/>
          </w:tcPr>
          <w:p w:rsidR="00A14704" w:rsidRPr="001533AD" w:rsidRDefault="00B4778A" w:rsidP="00B4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Titul, j</w:t>
            </w:r>
            <w:r w:rsidR="00A14704" w:rsidRPr="001533AD">
              <w:rPr>
                <w:rFonts w:ascii="Times New Roman" w:hAnsi="Times New Roman" w:cs="Times New Roman"/>
                <w:sz w:val="24"/>
                <w:szCs w:val="24"/>
              </w:rPr>
              <w:t>méno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011BFA">
              <w:rPr>
                <w:rFonts w:ascii="Times New Roman" w:hAnsi="Times New Roman" w:cs="Times New Roman"/>
                <w:sz w:val="24"/>
                <w:szCs w:val="24"/>
              </w:rPr>
              <w:t xml:space="preserve"> příjmení </w:t>
            </w:r>
          </w:p>
        </w:tc>
        <w:tc>
          <w:tcPr>
            <w:tcW w:w="2132" w:type="dxa"/>
          </w:tcPr>
          <w:p w:rsidR="00A14704" w:rsidRPr="001533AD" w:rsidRDefault="00A14704" w:rsidP="00A14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AD">
              <w:rPr>
                <w:rFonts w:ascii="Times New Roman" w:hAnsi="Times New Roman" w:cs="Times New Roman"/>
                <w:sz w:val="24"/>
                <w:szCs w:val="24"/>
              </w:rPr>
              <w:t>funkce</w:t>
            </w:r>
          </w:p>
        </w:tc>
        <w:tc>
          <w:tcPr>
            <w:tcW w:w="1248" w:type="dxa"/>
          </w:tcPr>
          <w:p w:rsidR="00A14704" w:rsidRPr="001533AD" w:rsidRDefault="00A14704" w:rsidP="00A14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33AD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gramEnd"/>
          </w:p>
        </w:tc>
        <w:tc>
          <w:tcPr>
            <w:tcW w:w="1162" w:type="dxa"/>
          </w:tcPr>
          <w:p w:rsidR="00A14704" w:rsidRPr="001533AD" w:rsidRDefault="00A14704" w:rsidP="00A14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33AD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gramEnd"/>
          </w:p>
        </w:tc>
      </w:tr>
      <w:tr w:rsidR="00A14704" w:rsidRPr="001533AD" w:rsidTr="009010CE">
        <w:trPr>
          <w:trHeight w:val="315"/>
        </w:trPr>
        <w:tc>
          <w:tcPr>
            <w:tcW w:w="4120" w:type="dxa"/>
          </w:tcPr>
          <w:p w:rsidR="00A14704" w:rsidRPr="001533AD" w:rsidRDefault="00A14704" w:rsidP="00A14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33AD">
              <w:rPr>
                <w:rFonts w:ascii="Times New Roman" w:hAnsi="Times New Roman" w:cs="Times New Roman"/>
                <w:sz w:val="24"/>
                <w:szCs w:val="24"/>
              </w:rPr>
              <w:t>Ing.Václav</w:t>
            </w:r>
            <w:proofErr w:type="spellEnd"/>
            <w:proofErr w:type="gramEnd"/>
            <w:r w:rsidRPr="001533AD">
              <w:rPr>
                <w:rFonts w:ascii="Times New Roman" w:hAnsi="Times New Roman" w:cs="Times New Roman"/>
                <w:sz w:val="24"/>
                <w:szCs w:val="24"/>
              </w:rPr>
              <w:t xml:space="preserve"> Dejčmar</w:t>
            </w:r>
          </w:p>
        </w:tc>
        <w:tc>
          <w:tcPr>
            <w:tcW w:w="2132" w:type="dxa"/>
          </w:tcPr>
          <w:p w:rsidR="00A14704" w:rsidRPr="001533AD" w:rsidRDefault="00A14704" w:rsidP="00A14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AD">
              <w:rPr>
                <w:rFonts w:ascii="Times New Roman" w:hAnsi="Times New Roman" w:cs="Times New Roman"/>
                <w:sz w:val="24"/>
                <w:szCs w:val="24"/>
              </w:rPr>
              <w:t>předseda</w:t>
            </w:r>
          </w:p>
        </w:tc>
        <w:tc>
          <w:tcPr>
            <w:tcW w:w="1248" w:type="dxa"/>
          </w:tcPr>
          <w:p w:rsidR="00A14704" w:rsidRPr="001533AD" w:rsidRDefault="00A14704" w:rsidP="00C35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3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5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33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5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10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533AD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 w:rsidR="00C35F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62" w:type="dxa"/>
          </w:tcPr>
          <w:p w:rsidR="00A14704" w:rsidRPr="001533AD" w:rsidRDefault="00A14704" w:rsidP="00A147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AD">
              <w:rPr>
                <w:rFonts w:ascii="Times New Roman" w:hAnsi="Times New Roman" w:cs="Times New Roman"/>
                <w:sz w:val="24"/>
                <w:szCs w:val="24"/>
              </w:rPr>
              <w:t>dosud</w:t>
            </w:r>
          </w:p>
        </w:tc>
      </w:tr>
      <w:tr w:rsidR="001533AD" w:rsidRPr="001533AD" w:rsidTr="009010CE">
        <w:trPr>
          <w:trHeight w:val="315"/>
        </w:trPr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33AD" w:rsidRPr="001533AD" w:rsidRDefault="001533AD" w:rsidP="0040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33AD">
              <w:rPr>
                <w:rFonts w:ascii="Times New Roman" w:hAnsi="Times New Roman" w:cs="Times New Roman"/>
                <w:sz w:val="24"/>
                <w:szCs w:val="24"/>
              </w:rPr>
              <w:t>Ing.Tomáš</w:t>
            </w:r>
            <w:proofErr w:type="spellEnd"/>
            <w:proofErr w:type="gramEnd"/>
            <w:r w:rsidRPr="001533AD">
              <w:rPr>
                <w:rFonts w:ascii="Times New Roman" w:hAnsi="Times New Roman" w:cs="Times New Roman"/>
                <w:sz w:val="24"/>
                <w:szCs w:val="24"/>
              </w:rPr>
              <w:t xml:space="preserve"> Janeček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33AD" w:rsidRPr="001533AD" w:rsidRDefault="001533AD" w:rsidP="0040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AD">
              <w:rPr>
                <w:rFonts w:ascii="Times New Roman" w:hAnsi="Times New Roman" w:cs="Times New Roman"/>
                <w:sz w:val="24"/>
                <w:szCs w:val="24"/>
              </w:rPr>
              <w:t>člen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33AD" w:rsidRPr="001533AD" w:rsidRDefault="001533AD" w:rsidP="0040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33AD">
              <w:rPr>
                <w:rFonts w:ascii="Times New Roman" w:hAnsi="Times New Roman" w:cs="Times New Roman"/>
                <w:sz w:val="24"/>
                <w:szCs w:val="24"/>
              </w:rPr>
              <w:t>6.2.2009</w:t>
            </w:r>
            <w:proofErr w:type="gramEnd"/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33AD" w:rsidRPr="001533AD" w:rsidRDefault="001533AD" w:rsidP="0040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dosud</w:t>
            </w:r>
            <w:proofErr w:type="spellEnd"/>
          </w:p>
        </w:tc>
      </w:tr>
      <w:tr w:rsidR="001533AD" w:rsidRPr="001533AD" w:rsidTr="009010CE">
        <w:trPr>
          <w:trHeight w:val="315"/>
        </w:trPr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33AD" w:rsidRPr="001533AD" w:rsidRDefault="001533AD" w:rsidP="0040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AD">
              <w:rPr>
                <w:rFonts w:ascii="Times New Roman" w:hAnsi="Times New Roman" w:cs="Times New Roman"/>
                <w:sz w:val="24"/>
                <w:szCs w:val="24"/>
              </w:rPr>
              <w:t xml:space="preserve">Ing. Bronislav </w:t>
            </w:r>
            <w:proofErr w:type="spellStart"/>
            <w:r w:rsidRPr="001533AD">
              <w:rPr>
                <w:rFonts w:ascii="Times New Roman" w:hAnsi="Times New Roman" w:cs="Times New Roman"/>
                <w:sz w:val="24"/>
                <w:szCs w:val="24"/>
              </w:rPr>
              <w:t>Kandrík</w:t>
            </w:r>
            <w:proofErr w:type="spellEnd"/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33AD" w:rsidRPr="001533AD" w:rsidRDefault="001533AD" w:rsidP="0040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AD">
              <w:rPr>
                <w:rFonts w:ascii="Times New Roman" w:hAnsi="Times New Roman" w:cs="Times New Roman"/>
                <w:sz w:val="24"/>
                <w:szCs w:val="24"/>
              </w:rPr>
              <w:t>člen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33AD" w:rsidRPr="001533AD" w:rsidRDefault="001533AD" w:rsidP="00401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33AD">
              <w:rPr>
                <w:rFonts w:ascii="Times New Roman" w:hAnsi="Times New Roman" w:cs="Times New Roman"/>
                <w:sz w:val="24"/>
                <w:szCs w:val="24"/>
              </w:rPr>
              <w:t>26.5.2009</w:t>
            </w:r>
            <w:proofErr w:type="gramEnd"/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33AD" w:rsidRPr="001533AD" w:rsidRDefault="001533AD" w:rsidP="004015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3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dosud</w:t>
            </w:r>
            <w:proofErr w:type="spellEnd"/>
          </w:p>
        </w:tc>
      </w:tr>
    </w:tbl>
    <w:p w:rsidR="00A14704" w:rsidRPr="001533AD" w:rsidRDefault="00A14704" w:rsidP="00A1470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14704" w:rsidRPr="001533AD" w:rsidRDefault="00A14704" w:rsidP="00A147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3AD">
        <w:rPr>
          <w:rFonts w:ascii="Times New Roman" w:hAnsi="Times New Roman" w:cs="Times New Roman"/>
          <w:b/>
          <w:sz w:val="24"/>
          <w:szCs w:val="24"/>
        </w:rPr>
        <w:t>Ing. Václav Dejčmar</w:t>
      </w:r>
    </w:p>
    <w:p w:rsidR="00CF2A87" w:rsidRDefault="00A14704" w:rsidP="00B977BC">
      <w:pPr>
        <w:jc w:val="both"/>
        <w:rPr>
          <w:rFonts w:ascii="Times New Roman" w:hAnsi="Times New Roman" w:cs="Times New Roman"/>
          <w:sz w:val="24"/>
          <w:szCs w:val="24"/>
        </w:rPr>
      </w:pPr>
      <w:r w:rsidRPr="001533AD">
        <w:rPr>
          <w:rFonts w:ascii="Times New Roman" w:hAnsi="Times New Roman" w:cs="Times New Roman"/>
          <w:sz w:val="24"/>
          <w:szCs w:val="24"/>
        </w:rPr>
        <w:t xml:space="preserve">Je absolvent VŠE v Praze – obor finance a bankovnictví. Má deset let praxe ve vedoucích funkcích u společností zabývajících se informačními systémy, internetem a reklamou. </w:t>
      </w:r>
      <w:r w:rsidR="00333A13">
        <w:rPr>
          <w:rFonts w:ascii="Times New Roman" w:hAnsi="Times New Roman" w:cs="Times New Roman"/>
          <w:sz w:val="24"/>
          <w:szCs w:val="24"/>
        </w:rPr>
        <w:t>Devět</w:t>
      </w:r>
      <w:r w:rsidRPr="001533AD">
        <w:rPr>
          <w:rFonts w:ascii="Times New Roman" w:hAnsi="Times New Roman" w:cs="Times New Roman"/>
          <w:sz w:val="24"/>
          <w:szCs w:val="24"/>
        </w:rPr>
        <w:t xml:space="preserve"> let působí jako předseda dozorčí rady společnosti RSJ a.s.</w:t>
      </w:r>
      <w:r w:rsidR="00B977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2A87" w:rsidRDefault="00CF2A87" w:rsidP="00CF2A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Členství v orgánech jiných právnických osob:</w:t>
      </w:r>
    </w:p>
    <w:p w:rsidR="00CF2A87" w:rsidRDefault="00CF2A87" w:rsidP="00333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Funkce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Vznik funkce</w:t>
      </w:r>
    </w:p>
    <w:p w:rsidR="00B977BC" w:rsidRDefault="00B977BC" w:rsidP="00333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5P uzavřený investiční fond, a.s. </w:t>
      </w:r>
      <w:r w:rsidR="00CF2A87">
        <w:rPr>
          <w:rFonts w:ascii="Times New Roman" w:hAnsi="Times New Roman" w:cs="Times New Roman"/>
          <w:sz w:val="24"/>
          <w:szCs w:val="24"/>
        </w:rPr>
        <w:tab/>
      </w:r>
      <w:r w:rsidR="00CF2A87">
        <w:rPr>
          <w:rFonts w:ascii="Times New Roman" w:hAnsi="Times New Roman" w:cs="Times New Roman"/>
          <w:sz w:val="24"/>
          <w:szCs w:val="24"/>
        </w:rPr>
        <w:tab/>
        <w:t xml:space="preserve">člen dozorčí rady  </w:t>
      </w:r>
      <w:r w:rsidR="00CF2A87">
        <w:rPr>
          <w:rFonts w:ascii="Times New Roman" w:hAnsi="Times New Roman" w:cs="Times New Roman"/>
          <w:sz w:val="24"/>
          <w:szCs w:val="24"/>
        </w:rPr>
        <w:tab/>
      </w:r>
      <w:r w:rsidR="00CF2A8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F2A87">
        <w:rPr>
          <w:rFonts w:ascii="Times New Roman" w:hAnsi="Times New Roman" w:cs="Times New Roman"/>
          <w:sz w:val="24"/>
          <w:szCs w:val="24"/>
        </w:rPr>
        <w:t>08.07.2010</w:t>
      </w:r>
      <w:proofErr w:type="gramEnd"/>
    </w:p>
    <w:p w:rsidR="001479CD" w:rsidRDefault="001479CD" w:rsidP="00333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INTERACTIVE ONE s.r.o.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2.12.1998</w:t>
      </w:r>
    </w:p>
    <w:p w:rsidR="001479CD" w:rsidRDefault="001479CD" w:rsidP="00333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BOX</w:t>
      </w:r>
      <w:r w:rsidR="009C78EF">
        <w:rPr>
          <w:rFonts w:ascii="Times New Roman" w:hAnsi="Times New Roman" w:cs="Times New Roman"/>
          <w:sz w:val="24"/>
          <w:szCs w:val="24"/>
        </w:rPr>
        <w:t xml:space="preserve">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78EF">
        <w:rPr>
          <w:rFonts w:ascii="Times New Roman" w:hAnsi="Times New Roman" w:cs="Times New Roman"/>
          <w:sz w:val="24"/>
          <w:szCs w:val="24"/>
        </w:rPr>
        <w:tab/>
      </w:r>
      <w:r w:rsidR="009C78EF">
        <w:rPr>
          <w:rFonts w:ascii="Times New Roman" w:hAnsi="Times New Roman" w:cs="Times New Roman"/>
          <w:sz w:val="24"/>
          <w:szCs w:val="24"/>
        </w:rPr>
        <w:tab/>
      </w:r>
      <w:r w:rsidR="009C78EF">
        <w:rPr>
          <w:rFonts w:ascii="Times New Roman" w:hAnsi="Times New Roman" w:cs="Times New Roman"/>
          <w:sz w:val="24"/>
          <w:szCs w:val="24"/>
        </w:rPr>
        <w:tab/>
        <w:t>člen dozorčí rady</w:t>
      </w:r>
      <w:r w:rsidR="009C78EF">
        <w:rPr>
          <w:rFonts w:ascii="Times New Roman" w:hAnsi="Times New Roman" w:cs="Times New Roman"/>
          <w:sz w:val="24"/>
          <w:szCs w:val="24"/>
        </w:rPr>
        <w:tab/>
      </w:r>
      <w:r w:rsidR="009C78E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C78EF">
        <w:rPr>
          <w:rFonts w:ascii="Times New Roman" w:hAnsi="Times New Roman" w:cs="Times New Roman"/>
          <w:sz w:val="24"/>
          <w:szCs w:val="24"/>
        </w:rPr>
        <w:t>07.12.2007</w:t>
      </w:r>
      <w:proofErr w:type="gramEnd"/>
    </w:p>
    <w:p w:rsidR="009C78EF" w:rsidRDefault="009C78EF" w:rsidP="00333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Enigmatus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1264">
        <w:rPr>
          <w:rFonts w:ascii="Times New Roman" w:hAnsi="Times New Roman" w:cs="Times New Roman"/>
          <w:sz w:val="24"/>
          <w:szCs w:val="24"/>
        </w:rPr>
        <w:t>společník</w:t>
      </w:r>
      <w:r w:rsidR="00281264">
        <w:rPr>
          <w:rFonts w:ascii="Times New Roman" w:hAnsi="Times New Roman" w:cs="Times New Roman"/>
          <w:sz w:val="24"/>
          <w:szCs w:val="24"/>
        </w:rPr>
        <w:tab/>
      </w:r>
      <w:r w:rsidR="00281264">
        <w:rPr>
          <w:rFonts w:ascii="Times New Roman" w:hAnsi="Times New Roman" w:cs="Times New Roman"/>
          <w:sz w:val="24"/>
          <w:szCs w:val="24"/>
        </w:rPr>
        <w:tab/>
      </w:r>
      <w:r w:rsidR="0028126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81264">
        <w:rPr>
          <w:rFonts w:ascii="Times New Roman" w:hAnsi="Times New Roman" w:cs="Times New Roman"/>
          <w:sz w:val="24"/>
          <w:szCs w:val="24"/>
        </w:rPr>
        <w:t>07.12.2009</w:t>
      </w:r>
      <w:proofErr w:type="gramEnd"/>
    </w:p>
    <w:p w:rsidR="00281264" w:rsidRDefault="00281264" w:rsidP="00333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RTL Residence s.r.o.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společník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21.11.2005</w:t>
      </w:r>
      <w:proofErr w:type="gramEnd"/>
    </w:p>
    <w:p w:rsidR="00BD65C8" w:rsidRDefault="00BD65C8" w:rsidP="00333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Czechoslovak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společník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35FD5">
        <w:rPr>
          <w:rFonts w:ascii="Times New Roman" w:hAnsi="Times New Roman" w:cs="Times New Roman"/>
          <w:sz w:val="24"/>
          <w:szCs w:val="24"/>
        </w:rPr>
        <w:t>07.12.2010</w:t>
      </w:r>
      <w:proofErr w:type="gramEnd"/>
    </w:p>
    <w:p w:rsidR="00BD65C8" w:rsidRDefault="00BD65C8" w:rsidP="00333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 FACTORY, o.p.s.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člen dozorčí rady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01.04.2010</w:t>
      </w:r>
      <w:proofErr w:type="gramEnd"/>
    </w:p>
    <w:p w:rsidR="00C35FD5" w:rsidRPr="001533AD" w:rsidRDefault="00C35FD5" w:rsidP="00333A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I3CZ s.r.o.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03.03.2000</w:t>
      </w:r>
      <w:proofErr w:type="gramEnd"/>
    </w:p>
    <w:p w:rsidR="005F0948" w:rsidRDefault="005F0948" w:rsidP="00B977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7BC" w:rsidRDefault="00A14704" w:rsidP="00B977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3AD">
        <w:rPr>
          <w:rFonts w:ascii="Times New Roman" w:hAnsi="Times New Roman" w:cs="Times New Roman"/>
          <w:b/>
          <w:sz w:val="24"/>
          <w:szCs w:val="24"/>
        </w:rPr>
        <w:t>Ing. Tomáš Janeček</w:t>
      </w:r>
    </w:p>
    <w:p w:rsidR="000C740F" w:rsidRDefault="00A14704" w:rsidP="00B977BC">
      <w:pPr>
        <w:jc w:val="both"/>
        <w:rPr>
          <w:rFonts w:ascii="Times New Roman" w:hAnsi="Times New Roman" w:cs="Times New Roman"/>
          <w:sz w:val="24"/>
          <w:szCs w:val="24"/>
        </w:rPr>
      </w:pPr>
      <w:r w:rsidRPr="001533AD">
        <w:rPr>
          <w:rFonts w:ascii="Times New Roman" w:hAnsi="Times New Roman" w:cs="Times New Roman"/>
          <w:sz w:val="24"/>
          <w:szCs w:val="24"/>
        </w:rPr>
        <w:t xml:space="preserve">Pracoval v RSJ na pozici manažera řízení lidských zdrojů. Je absolventem VŠE v Praze se specializací na finance a obchodní právo. Je držitelem makléřské licence kategorie I., II., III. (od roku 1996 - kategorie I., II., od roku 2002 - kategorie III.) Má deset let praxe u společnosti RSJ Invest na pozicích makléře a portfolio </w:t>
      </w:r>
      <w:proofErr w:type="spellStart"/>
      <w:r w:rsidRPr="001533AD">
        <w:rPr>
          <w:rFonts w:ascii="Times New Roman" w:hAnsi="Times New Roman" w:cs="Times New Roman"/>
          <w:sz w:val="24"/>
          <w:szCs w:val="24"/>
        </w:rPr>
        <w:t>managera</w:t>
      </w:r>
      <w:proofErr w:type="spellEnd"/>
      <w:r w:rsidRPr="001533AD">
        <w:rPr>
          <w:rFonts w:ascii="Times New Roman" w:hAnsi="Times New Roman" w:cs="Times New Roman"/>
          <w:sz w:val="24"/>
          <w:szCs w:val="24"/>
        </w:rPr>
        <w:t>. Zabývá se přednáškovou činností k problematice kapitálového trhu. Sedm let byl členem představenstva společnosti RSJ Invest, a.s.</w:t>
      </w:r>
      <w:r w:rsidR="00B977BC">
        <w:rPr>
          <w:rFonts w:ascii="Times New Roman" w:hAnsi="Times New Roman" w:cs="Times New Roman"/>
          <w:sz w:val="24"/>
          <w:szCs w:val="24"/>
        </w:rPr>
        <w:t xml:space="preserve">. </w:t>
      </w:r>
      <w:r w:rsidR="00333A13">
        <w:rPr>
          <w:rFonts w:ascii="Times New Roman" w:hAnsi="Times New Roman" w:cs="Times New Roman"/>
          <w:sz w:val="24"/>
          <w:szCs w:val="24"/>
        </w:rPr>
        <w:t xml:space="preserve">V současné době je člen představenstva RSJ a.s.. </w:t>
      </w:r>
    </w:p>
    <w:p w:rsidR="005F0948" w:rsidRDefault="005F0948" w:rsidP="00B977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948" w:rsidRDefault="005F0948" w:rsidP="00B977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740F" w:rsidRDefault="000C740F" w:rsidP="00B977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Členství v orgánech jiných právnických osob:</w:t>
      </w:r>
    </w:p>
    <w:p w:rsidR="000C740F" w:rsidRDefault="000C740F" w:rsidP="00892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Funkce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Vznik funkce</w:t>
      </w:r>
    </w:p>
    <w:p w:rsidR="000C740F" w:rsidRDefault="000C740F" w:rsidP="00892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5P uzavřeném investičním fondu, a.s.</w:t>
      </w:r>
      <w:r>
        <w:rPr>
          <w:rFonts w:ascii="Times New Roman" w:hAnsi="Times New Roman" w:cs="Times New Roman"/>
          <w:sz w:val="24"/>
          <w:szCs w:val="24"/>
        </w:rPr>
        <w:tab/>
        <w:t>předseda představenstva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08.07.2010</w:t>
      </w:r>
      <w:proofErr w:type="gramEnd"/>
    </w:p>
    <w:p w:rsidR="00CF2A87" w:rsidRDefault="00CF2A87" w:rsidP="00892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Mateřské školce Duhovka</w:t>
      </w:r>
      <w:r w:rsidR="003E63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13.05.2008</w:t>
      </w:r>
      <w:proofErr w:type="gramEnd"/>
    </w:p>
    <w:p w:rsidR="00CF2A87" w:rsidRDefault="00CF2A87" w:rsidP="00892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JKT Technik, s.r.o.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02.01.1997</w:t>
      </w:r>
      <w:proofErr w:type="gramEnd"/>
    </w:p>
    <w:p w:rsidR="00CF2A87" w:rsidRDefault="003E637D" w:rsidP="00892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Maagd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předseda</w:t>
      </w:r>
      <w:r w:rsidR="00CF2A87">
        <w:rPr>
          <w:rFonts w:ascii="Times New Roman" w:hAnsi="Times New Roman" w:cs="Times New Roman"/>
          <w:sz w:val="24"/>
          <w:szCs w:val="24"/>
        </w:rPr>
        <w:t xml:space="preserve"> dozorčí rady</w:t>
      </w:r>
      <w:r w:rsidR="00CF2A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F2A87">
        <w:rPr>
          <w:rFonts w:ascii="Times New Roman" w:hAnsi="Times New Roman" w:cs="Times New Roman"/>
          <w:sz w:val="24"/>
          <w:szCs w:val="24"/>
        </w:rPr>
        <w:t>22.0</w:t>
      </w:r>
      <w:r w:rsidR="00FA7744">
        <w:rPr>
          <w:rFonts w:ascii="Times New Roman" w:hAnsi="Times New Roman" w:cs="Times New Roman"/>
          <w:sz w:val="24"/>
          <w:szCs w:val="24"/>
        </w:rPr>
        <w:t>6</w:t>
      </w:r>
      <w:r w:rsidR="00CF2A87">
        <w:rPr>
          <w:rFonts w:ascii="Times New Roman" w:hAnsi="Times New Roman" w:cs="Times New Roman"/>
          <w:sz w:val="24"/>
          <w:szCs w:val="24"/>
        </w:rPr>
        <w:t>.2009</w:t>
      </w:r>
      <w:proofErr w:type="gramEnd"/>
    </w:p>
    <w:p w:rsidR="00CF2A87" w:rsidRDefault="00CF2A87" w:rsidP="00892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DUHOVKA GROUP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člen představenstva</w:t>
      </w:r>
      <w:r w:rsidR="003E63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15.02.2010</w:t>
      </w:r>
      <w:proofErr w:type="gramEnd"/>
    </w:p>
    <w:p w:rsidR="00B977BC" w:rsidRDefault="000C740F" w:rsidP="00892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Gymnáziu</w:t>
      </w:r>
      <w:r w:rsidR="00CF2A87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 xml:space="preserve"> Duhovka</w:t>
      </w:r>
      <w:r w:rsidR="003E637D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F2A87">
        <w:rPr>
          <w:rFonts w:ascii="Times New Roman" w:hAnsi="Times New Roman" w:cs="Times New Roman"/>
          <w:sz w:val="24"/>
          <w:szCs w:val="24"/>
        </w:rPr>
        <w:tab/>
      </w:r>
      <w:r w:rsidR="00CF2A87">
        <w:rPr>
          <w:rFonts w:ascii="Times New Roman" w:hAnsi="Times New Roman" w:cs="Times New Roman"/>
          <w:sz w:val="24"/>
          <w:szCs w:val="24"/>
        </w:rPr>
        <w:tab/>
        <w:t xml:space="preserve">jednatel </w:t>
      </w:r>
      <w:r w:rsidR="00CF2A87">
        <w:rPr>
          <w:rFonts w:ascii="Times New Roman" w:hAnsi="Times New Roman" w:cs="Times New Roman"/>
          <w:sz w:val="24"/>
          <w:szCs w:val="24"/>
        </w:rPr>
        <w:tab/>
      </w:r>
      <w:r w:rsidR="00CF2A87">
        <w:rPr>
          <w:rFonts w:ascii="Times New Roman" w:hAnsi="Times New Roman" w:cs="Times New Roman"/>
          <w:sz w:val="24"/>
          <w:szCs w:val="24"/>
        </w:rPr>
        <w:tab/>
      </w:r>
      <w:r w:rsidR="00CF2A8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F2A87">
        <w:rPr>
          <w:rFonts w:ascii="Times New Roman" w:hAnsi="Times New Roman" w:cs="Times New Roman"/>
          <w:sz w:val="24"/>
          <w:szCs w:val="24"/>
        </w:rPr>
        <w:t>28.04.2010</w:t>
      </w:r>
      <w:proofErr w:type="gramEnd"/>
    </w:p>
    <w:p w:rsidR="00FA7744" w:rsidRPr="000C740F" w:rsidRDefault="00FA7744" w:rsidP="00892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Soukromá základní Škola Hrou, s.r.o.</w:t>
      </w:r>
      <w:r>
        <w:rPr>
          <w:rFonts w:ascii="Times New Roman" w:hAnsi="Times New Roman" w:cs="Times New Roman"/>
          <w:sz w:val="24"/>
          <w:szCs w:val="24"/>
        </w:rPr>
        <w:tab/>
        <w:t>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29.07.2010</w:t>
      </w:r>
      <w:proofErr w:type="gramEnd"/>
    </w:p>
    <w:p w:rsidR="00A14704" w:rsidRPr="001533AD" w:rsidRDefault="00A14704" w:rsidP="00A147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4704" w:rsidRPr="001533AD" w:rsidRDefault="00A14704" w:rsidP="00A147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3AD">
        <w:rPr>
          <w:rFonts w:ascii="Times New Roman" w:hAnsi="Times New Roman" w:cs="Times New Roman"/>
          <w:b/>
          <w:sz w:val="24"/>
          <w:szCs w:val="24"/>
        </w:rPr>
        <w:t xml:space="preserve">Ing. Bronislav </w:t>
      </w:r>
      <w:proofErr w:type="spellStart"/>
      <w:r w:rsidRPr="001533AD">
        <w:rPr>
          <w:rFonts w:ascii="Times New Roman" w:hAnsi="Times New Roman" w:cs="Times New Roman"/>
          <w:b/>
          <w:sz w:val="24"/>
          <w:szCs w:val="24"/>
        </w:rPr>
        <w:t>Kandrík</w:t>
      </w:r>
      <w:proofErr w:type="spellEnd"/>
    </w:p>
    <w:p w:rsidR="00A40C33" w:rsidRDefault="00A14704" w:rsidP="00A40C33">
      <w:pPr>
        <w:jc w:val="both"/>
        <w:rPr>
          <w:rFonts w:ascii="Times New Roman" w:hAnsi="Times New Roman" w:cs="Times New Roman"/>
          <w:sz w:val="24"/>
          <w:szCs w:val="24"/>
        </w:rPr>
      </w:pPr>
      <w:r w:rsidRPr="001533AD">
        <w:rPr>
          <w:rFonts w:ascii="Times New Roman" w:hAnsi="Times New Roman" w:cs="Times New Roman"/>
          <w:sz w:val="24"/>
          <w:szCs w:val="24"/>
          <w:lang w:val="sk-SK"/>
        </w:rPr>
        <w:t>Je absolvent VŠE v </w:t>
      </w:r>
      <w:proofErr w:type="spellStart"/>
      <w:r w:rsidRPr="001533AD">
        <w:rPr>
          <w:rFonts w:ascii="Times New Roman" w:hAnsi="Times New Roman" w:cs="Times New Roman"/>
          <w:sz w:val="24"/>
          <w:szCs w:val="24"/>
          <w:lang w:val="sk-SK"/>
        </w:rPr>
        <w:t>Praze</w:t>
      </w:r>
      <w:proofErr w:type="spellEnd"/>
      <w:r w:rsidRPr="001533AD">
        <w:rPr>
          <w:rFonts w:ascii="Times New Roman" w:hAnsi="Times New Roman" w:cs="Times New Roman"/>
          <w:sz w:val="24"/>
          <w:szCs w:val="24"/>
          <w:lang w:val="sk-SK"/>
        </w:rPr>
        <w:t xml:space="preserve"> – obor </w:t>
      </w:r>
      <w:proofErr w:type="spellStart"/>
      <w:r w:rsidRPr="001533AD">
        <w:rPr>
          <w:rFonts w:ascii="Times New Roman" w:hAnsi="Times New Roman" w:cs="Times New Roman"/>
          <w:sz w:val="24"/>
          <w:szCs w:val="24"/>
          <w:lang w:val="sk-SK"/>
        </w:rPr>
        <w:t>finance</w:t>
      </w:r>
      <w:proofErr w:type="spellEnd"/>
      <w:r w:rsidRPr="001533AD">
        <w:rPr>
          <w:rFonts w:ascii="Times New Roman" w:hAnsi="Times New Roman" w:cs="Times New Roman"/>
          <w:sz w:val="24"/>
          <w:szCs w:val="24"/>
          <w:lang w:val="sk-SK"/>
        </w:rPr>
        <w:t xml:space="preserve"> a </w:t>
      </w:r>
      <w:proofErr w:type="spellStart"/>
      <w:r w:rsidRPr="001533AD">
        <w:rPr>
          <w:rFonts w:ascii="Times New Roman" w:hAnsi="Times New Roman" w:cs="Times New Roman"/>
          <w:sz w:val="24"/>
          <w:szCs w:val="24"/>
          <w:lang w:val="sk-SK"/>
        </w:rPr>
        <w:t>bankovnictví</w:t>
      </w:r>
      <w:proofErr w:type="spellEnd"/>
      <w:r w:rsidRPr="001533AD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proofErr w:type="spellStart"/>
      <w:r w:rsidRPr="001533AD">
        <w:rPr>
          <w:rFonts w:ascii="Times New Roman" w:hAnsi="Times New Roman" w:cs="Times New Roman"/>
          <w:sz w:val="24"/>
          <w:szCs w:val="24"/>
          <w:lang w:val="sk-SK"/>
        </w:rPr>
        <w:t>Ve</w:t>
      </w:r>
      <w:proofErr w:type="spellEnd"/>
      <w:r w:rsidRPr="001533AD">
        <w:rPr>
          <w:rFonts w:ascii="Times New Roman" w:hAnsi="Times New Roman" w:cs="Times New Roman"/>
          <w:sz w:val="24"/>
          <w:szCs w:val="24"/>
          <w:lang w:val="sk-SK"/>
        </w:rPr>
        <w:t> </w:t>
      </w:r>
      <w:proofErr w:type="spellStart"/>
      <w:r w:rsidRPr="001533AD">
        <w:rPr>
          <w:rFonts w:ascii="Times New Roman" w:hAnsi="Times New Roman" w:cs="Times New Roman"/>
          <w:sz w:val="24"/>
          <w:szCs w:val="24"/>
          <w:lang w:val="sk-SK"/>
        </w:rPr>
        <w:t>společnosti</w:t>
      </w:r>
      <w:proofErr w:type="spellEnd"/>
      <w:r w:rsidRPr="001533AD">
        <w:rPr>
          <w:rFonts w:ascii="Times New Roman" w:hAnsi="Times New Roman" w:cs="Times New Roman"/>
          <w:sz w:val="24"/>
          <w:szCs w:val="24"/>
          <w:lang w:val="sk-SK"/>
        </w:rPr>
        <w:t xml:space="preserve"> RSJ pracuje od roku 2003. Od roku 2007 je </w:t>
      </w:r>
      <w:proofErr w:type="spellStart"/>
      <w:r w:rsidRPr="001533AD">
        <w:rPr>
          <w:rFonts w:ascii="Times New Roman" w:hAnsi="Times New Roman" w:cs="Times New Roman"/>
          <w:sz w:val="24"/>
          <w:szCs w:val="24"/>
          <w:lang w:val="sk-SK"/>
        </w:rPr>
        <w:t>vedoucím</w:t>
      </w:r>
      <w:proofErr w:type="spellEnd"/>
      <w:r w:rsidRPr="001533A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proofErr w:type="spellStart"/>
      <w:r w:rsidRPr="001533AD">
        <w:rPr>
          <w:rFonts w:ascii="Times New Roman" w:hAnsi="Times New Roman" w:cs="Times New Roman"/>
          <w:sz w:val="24"/>
          <w:szCs w:val="24"/>
          <w:lang w:val="sk-SK"/>
        </w:rPr>
        <w:t>odd</w:t>
      </w:r>
      <w:r w:rsidRPr="001533AD">
        <w:rPr>
          <w:rFonts w:ascii="Times New Roman" w:hAnsi="Times New Roman" w:cs="Times New Roman"/>
          <w:sz w:val="24"/>
          <w:szCs w:val="24"/>
        </w:rPr>
        <w:t>ělení</w:t>
      </w:r>
      <w:proofErr w:type="spellEnd"/>
      <w:r w:rsidRPr="00153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3AD">
        <w:rPr>
          <w:rFonts w:ascii="Times New Roman" w:hAnsi="Times New Roman" w:cs="Times New Roman"/>
          <w:sz w:val="24"/>
          <w:szCs w:val="24"/>
        </w:rPr>
        <w:t>trading</w:t>
      </w:r>
      <w:proofErr w:type="spellEnd"/>
      <w:r w:rsidRPr="00153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33AD">
        <w:rPr>
          <w:rFonts w:ascii="Times New Roman" w:hAnsi="Times New Roman" w:cs="Times New Roman"/>
          <w:sz w:val="24"/>
          <w:szCs w:val="24"/>
        </w:rPr>
        <w:t>desk</w:t>
      </w:r>
      <w:proofErr w:type="spellEnd"/>
      <w:r w:rsidRPr="001533AD">
        <w:rPr>
          <w:rFonts w:ascii="Times New Roman" w:hAnsi="Times New Roman" w:cs="Times New Roman"/>
          <w:sz w:val="24"/>
          <w:szCs w:val="24"/>
        </w:rPr>
        <w:t>.</w:t>
      </w:r>
      <w:r w:rsidR="00A40C33">
        <w:rPr>
          <w:rFonts w:ascii="Times New Roman" w:hAnsi="Times New Roman" w:cs="Times New Roman"/>
          <w:sz w:val="24"/>
          <w:szCs w:val="24"/>
        </w:rPr>
        <w:t xml:space="preserve"> V současné době nemá členství v orgánech jiných právnických osob</w:t>
      </w:r>
      <w:r w:rsidR="00B503BA">
        <w:rPr>
          <w:rFonts w:ascii="Times New Roman" w:hAnsi="Times New Roman" w:cs="Times New Roman"/>
          <w:sz w:val="24"/>
          <w:szCs w:val="24"/>
        </w:rPr>
        <w:t xml:space="preserve">  a je </w:t>
      </w:r>
      <w:r w:rsidR="00333A13">
        <w:rPr>
          <w:rFonts w:ascii="Times New Roman" w:hAnsi="Times New Roman" w:cs="Times New Roman"/>
          <w:sz w:val="24"/>
          <w:szCs w:val="24"/>
        </w:rPr>
        <w:t xml:space="preserve">  člen</w:t>
      </w:r>
      <w:r w:rsidR="00B503BA">
        <w:rPr>
          <w:rFonts w:ascii="Times New Roman" w:hAnsi="Times New Roman" w:cs="Times New Roman"/>
          <w:sz w:val="24"/>
          <w:szCs w:val="24"/>
        </w:rPr>
        <w:t>em</w:t>
      </w:r>
      <w:r w:rsidR="00333A13">
        <w:rPr>
          <w:rFonts w:ascii="Times New Roman" w:hAnsi="Times New Roman" w:cs="Times New Roman"/>
          <w:sz w:val="24"/>
          <w:szCs w:val="24"/>
        </w:rPr>
        <w:t xml:space="preserve"> představenstva RSJ </w:t>
      </w:r>
      <w:proofErr w:type="gramStart"/>
      <w:r w:rsidR="00333A13">
        <w:rPr>
          <w:rFonts w:ascii="Times New Roman" w:hAnsi="Times New Roman" w:cs="Times New Roman"/>
          <w:sz w:val="24"/>
          <w:szCs w:val="24"/>
        </w:rPr>
        <w:t>a.s..</w:t>
      </w:r>
      <w:proofErr w:type="gramEnd"/>
    </w:p>
    <w:p w:rsidR="001A7CFF" w:rsidRDefault="001A7CFF" w:rsidP="00A147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Souhrnná výše úvěrů poskytnutých Společností členům dozorčí rady: </w:t>
      </w:r>
    </w:p>
    <w:p w:rsidR="001A7CFF" w:rsidRDefault="001A7CFF" w:rsidP="00A147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žádné úvěry nebyly poskytnuty</w:t>
      </w:r>
    </w:p>
    <w:p w:rsidR="001A7CFF" w:rsidRDefault="001A7CFF" w:rsidP="00A147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Souhrnná výše záruk vydaných Společností za členy dozorčí rady: </w:t>
      </w:r>
    </w:p>
    <w:p w:rsidR="001A7CFF" w:rsidRDefault="001A7CFF" w:rsidP="00A147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žádné záruky nebyly vydány</w:t>
      </w:r>
    </w:p>
    <w:p w:rsidR="001A7CFF" w:rsidRPr="00401540" w:rsidRDefault="00401540" w:rsidP="00A147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Vrcholné vedení Společnosti: </w:t>
      </w:r>
      <w:r>
        <w:rPr>
          <w:rFonts w:ascii="Times New Roman" w:hAnsi="Times New Roman" w:cs="Times New Roman"/>
          <w:bCs/>
          <w:sz w:val="24"/>
          <w:szCs w:val="24"/>
        </w:rPr>
        <w:t>viz výše Představenstvo</w:t>
      </w:r>
    </w:p>
    <w:p w:rsidR="00A02020" w:rsidRDefault="00A02020" w:rsidP="00A147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020" w:rsidRDefault="00A02020" w:rsidP="00A147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020" w:rsidRDefault="00A02020" w:rsidP="00A147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020" w:rsidRDefault="00A02020" w:rsidP="00A147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020" w:rsidRDefault="00A02020" w:rsidP="00A147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020" w:rsidRDefault="00A02020" w:rsidP="00A147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0948" w:rsidRDefault="005F0948" w:rsidP="00A147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D02" w:rsidRDefault="007D4D02" w:rsidP="00A147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D0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Organigram společnosti: </w:t>
      </w:r>
    </w:p>
    <w:p w:rsidR="00697B98" w:rsidRPr="00615026" w:rsidRDefault="007D4D02" w:rsidP="006150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419725" cy="6010275"/>
            <wp:effectExtent l="19050" t="0" r="9525" b="0"/>
            <wp:docPr id="9" name="obrázek 9" descr="C:\Users\rhynesova\AppData\Local\Microsoft\Windows\Temporary Internet Files\Content.Outlook\7BO7PYPZ\org2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hynesova\AppData\Local\Microsoft\Windows\Temporary Internet Files\Content.Outlook\7BO7PYPZ\org201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601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4704" w:rsidRPr="007D4D0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97B98" w:rsidRDefault="00697B98" w:rsidP="00712F4E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Údaje o složení akcionářů Společnosti</w:t>
      </w:r>
      <w:r w:rsidR="00712F4E">
        <w:rPr>
          <w:rFonts w:ascii="Times New Roman" w:hAnsi="Times New Roman" w:cs="Times New Roman"/>
          <w:b/>
          <w:sz w:val="28"/>
          <w:szCs w:val="28"/>
        </w:rPr>
        <w:t>:</w:t>
      </w:r>
      <w:r w:rsidR="00CD39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33AD" w:rsidRDefault="001533AD" w:rsidP="00712F4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533AD">
        <w:rPr>
          <w:rFonts w:ascii="Times New Roman" w:hAnsi="Times New Roman" w:cs="Times New Roman"/>
          <w:sz w:val="24"/>
          <w:szCs w:val="24"/>
        </w:rPr>
        <w:t>Akcionáři a výše podílu na hlasovacích právech v procentech:</w:t>
      </w:r>
    </w:p>
    <w:tbl>
      <w:tblPr>
        <w:tblStyle w:val="Mkatabulky"/>
        <w:tblW w:w="0" w:type="auto"/>
        <w:tblLook w:val="04A0"/>
      </w:tblPr>
      <w:tblGrid>
        <w:gridCol w:w="3060"/>
        <w:gridCol w:w="1240"/>
      </w:tblGrid>
      <w:tr w:rsidR="00ED3B40" w:rsidRPr="00ED3B40" w:rsidTr="00ED3B40">
        <w:trPr>
          <w:trHeight w:val="510"/>
        </w:trPr>
        <w:tc>
          <w:tcPr>
            <w:tcW w:w="3060" w:type="dxa"/>
            <w:hideMark/>
          </w:tcPr>
          <w:p w:rsidR="00ED3B40" w:rsidRPr="00ED3B40" w:rsidRDefault="00ED3B40" w:rsidP="00ED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40">
              <w:rPr>
                <w:rFonts w:ascii="Times New Roman" w:hAnsi="Times New Roman" w:cs="Times New Roman"/>
                <w:sz w:val="24"/>
                <w:szCs w:val="24"/>
              </w:rPr>
              <w:t>Karel Janeček PhD.</w:t>
            </w:r>
          </w:p>
        </w:tc>
        <w:tc>
          <w:tcPr>
            <w:tcW w:w="1240" w:type="dxa"/>
            <w:noWrap/>
            <w:hideMark/>
          </w:tcPr>
          <w:p w:rsidR="00ED3B40" w:rsidRPr="00ED3B40" w:rsidRDefault="00ED3B40" w:rsidP="00ED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40">
              <w:rPr>
                <w:rFonts w:ascii="Times New Roman" w:hAnsi="Times New Roman" w:cs="Times New Roman"/>
                <w:sz w:val="24"/>
                <w:szCs w:val="24"/>
              </w:rPr>
              <w:t>43.11%</w:t>
            </w:r>
          </w:p>
        </w:tc>
      </w:tr>
      <w:tr w:rsidR="00ED3B40" w:rsidRPr="00ED3B40" w:rsidTr="00ED3B40">
        <w:trPr>
          <w:trHeight w:val="510"/>
        </w:trPr>
        <w:tc>
          <w:tcPr>
            <w:tcW w:w="3060" w:type="dxa"/>
            <w:hideMark/>
          </w:tcPr>
          <w:p w:rsidR="00ED3B40" w:rsidRPr="00ED3B40" w:rsidRDefault="00ED3B40" w:rsidP="00ED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40">
              <w:rPr>
                <w:rFonts w:ascii="Times New Roman" w:hAnsi="Times New Roman" w:cs="Times New Roman"/>
                <w:sz w:val="24"/>
                <w:szCs w:val="24"/>
              </w:rPr>
              <w:t>Ing. Václav Dejčmar</w:t>
            </w:r>
          </w:p>
        </w:tc>
        <w:tc>
          <w:tcPr>
            <w:tcW w:w="1240" w:type="dxa"/>
            <w:noWrap/>
            <w:hideMark/>
          </w:tcPr>
          <w:p w:rsidR="00ED3B40" w:rsidRPr="00ED3B40" w:rsidRDefault="00ED3B40" w:rsidP="00ED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40">
              <w:rPr>
                <w:rFonts w:ascii="Times New Roman" w:hAnsi="Times New Roman" w:cs="Times New Roman"/>
                <w:sz w:val="24"/>
                <w:szCs w:val="24"/>
              </w:rPr>
              <w:t>21.55%</w:t>
            </w:r>
          </w:p>
        </w:tc>
      </w:tr>
      <w:tr w:rsidR="00ED3B40" w:rsidRPr="00ED3B40" w:rsidTr="00ED3B40">
        <w:trPr>
          <w:trHeight w:val="510"/>
        </w:trPr>
        <w:tc>
          <w:tcPr>
            <w:tcW w:w="3060" w:type="dxa"/>
            <w:hideMark/>
          </w:tcPr>
          <w:p w:rsidR="00ED3B40" w:rsidRPr="00ED3B40" w:rsidRDefault="00ED3B40" w:rsidP="00ED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40">
              <w:rPr>
                <w:rFonts w:ascii="Times New Roman" w:hAnsi="Times New Roman" w:cs="Times New Roman"/>
                <w:sz w:val="24"/>
                <w:szCs w:val="24"/>
              </w:rPr>
              <w:t xml:space="preserve">Ing. Libor </w:t>
            </w:r>
            <w:proofErr w:type="gramStart"/>
            <w:r w:rsidRPr="00ED3B40">
              <w:rPr>
                <w:rFonts w:ascii="Times New Roman" w:hAnsi="Times New Roman" w:cs="Times New Roman"/>
                <w:sz w:val="24"/>
                <w:szCs w:val="24"/>
              </w:rPr>
              <w:t>Winkler,CSc.</w:t>
            </w:r>
            <w:proofErr w:type="gramEnd"/>
            <w:r w:rsidRPr="00ED3B4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240" w:type="dxa"/>
            <w:noWrap/>
            <w:hideMark/>
          </w:tcPr>
          <w:p w:rsidR="00ED3B40" w:rsidRPr="00ED3B40" w:rsidRDefault="00ED3B40" w:rsidP="00ED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40">
              <w:rPr>
                <w:rFonts w:ascii="Times New Roman" w:hAnsi="Times New Roman" w:cs="Times New Roman"/>
                <w:sz w:val="24"/>
                <w:szCs w:val="24"/>
              </w:rPr>
              <w:t>12.00%</w:t>
            </w:r>
          </w:p>
        </w:tc>
      </w:tr>
      <w:tr w:rsidR="00ED3B40" w:rsidRPr="00ED3B40" w:rsidTr="00ED3B40">
        <w:trPr>
          <w:trHeight w:val="510"/>
        </w:trPr>
        <w:tc>
          <w:tcPr>
            <w:tcW w:w="3060" w:type="dxa"/>
            <w:hideMark/>
          </w:tcPr>
          <w:p w:rsidR="00ED3B40" w:rsidRPr="00ED3B40" w:rsidRDefault="00ED3B40" w:rsidP="00ED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3B40">
              <w:rPr>
                <w:rFonts w:ascii="Times New Roman" w:hAnsi="Times New Roman" w:cs="Times New Roman"/>
                <w:sz w:val="24"/>
                <w:szCs w:val="24"/>
              </w:rPr>
              <w:t>Ing.Tomáš</w:t>
            </w:r>
            <w:proofErr w:type="spellEnd"/>
            <w:proofErr w:type="gramEnd"/>
            <w:r w:rsidRPr="00ED3B40">
              <w:rPr>
                <w:rFonts w:ascii="Times New Roman" w:hAnsi="Times New Roman" w:cs="Times New Roman"/>
                <w:sz w:val="24"/>
                <w:szCs w:val="24"/>
              </w:rPr>
              <w:t xml:space="preserve"> Janeček</w:t>
            </w:r>
          </w:p>
        </w:tc>
        <w:tc>
          <w:tcPr>
            <w:tcW w:w="1240" w:type="dxa"/>
            <w:noWrap/>
            <w:hideMark/>
          </w:tcPr>
          <w:p w:rsidR="00ED3B40" w:rsidRPr="00ED3B40" w:rsidRDefault="00ED3B40" w:rsidP="00ED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40">
              <w:rPr>
                <w:rFonts w:ascii="Times New Roman" w:hAnsi="Times New Roman" w:cs="Times New Roman"/>
                <w:sz w:val="24"/>
                <w:szCs w:val="24"/>
              </w:rPr>
              <w:t>11.29%</w:t>
            </w:r>
          </w:p>
        </w:tc>
      </w:tr>
      <w:tr w:rsidR="00ED3B40" w:rsidRPr="00ED3B40" w:rsidTr="00ED3B40">
        <w:trPr>
          <w:trHeight w:val="510"/>
        </w:trPr>
        <w:tc>
          <w:tcPr>
            <w:tcW w:w="3060" w:type="dxa"/>
            <w:hideMark/>
          </w:tcPr>
          <w:p w:rsidR="00ED3B40" w:rsidRPr="00ED3B40" w:rsidRDefault="00ED3B40" w:rsidP="00ED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40">
              <w:rPr>
                <w:rFonts w:ascii="Times New Roman" w:hAnsi="Times New Roman" w:cs="Times New Roman"/>
                <w:sz w:val="24"/>
                <w:szCs w:val="24"/>
              </w:rPr>
              <w:t xml:space="preserve">Ing. Michal </w:t>
            </w:r>
            <w:proofErr w:type="spellStart"/>
            <w:r w:rsidRPr="00ED3B40">
              <w:rPr>
                <w:rFonts w:ascii="Times New Roman" w:hAnsi="Times New Roman" w:cs="Times New Roman"/>
                <w:sz w:val="24"/>
                <w:szCs w:val="24"/>
              </w:rPr>
              <w:t>Šaňák</w:t>
            </w:r>
            <w:proofErr w:type="spellEnd"/>
          </w:p>
        </w:tc>
        <w:tc>
          <w:tcPr>
            <w:tcW w:w="1240" w:type="dxa"/>
            <w:noWrap/>
            <w:hideMark/>
          </w:tcPr>
          <w:p w:rsidR="00ED3B40" w:rsidRPr="00ED3B40" w:rsidRDefault="00ED3B40" w:rsidP="00ED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40">
              <w:rPr>
                <w:rFonts w:ascii="Times New Roman" w:hAnsi="Times New Roman" w:cs="Times New Roman"/>
                <w:sz w:val="24"/>
                <w:szCs w:val="24"/>
              </w:rPr>
              <w:t>5.65%</w:t>
            </w:r>
          </w:p>
        </w:tc>
      </w:tr>
      <w:tr w:rsidR="00ED3B40" w:rsidRPr="00ED3B40" w:rsidTr="00ED3B40">
        <w:trPr>
          <w:trHeight w:val="510"/>
        </w:trPr>
        <w:tc>
          <w:tcPr>
            <w:tcW w:w="3060" w:type="dxa"/>
            <w:hideMark/>
          </w:tcPr>
          <w:p w:rsidR="00ED3B40" w:rsidRPr="00ED3B40" w:rsidRDefault="00ED3B40" w:rsidP="00ED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40">
              <w:rPr>
                <w:rFonts w:ascii="Times New Roman" w:hAnsi="Times New Roman" w:cs="Times New Roman"/>
                <w:sz w:val="24"/>
                <w:szCs w:val="24"/>
              </w:rPr>
              <w:t>Ing. Karel Janeček</w:t>
            </w:r>
          </w:p>
        </w:tc>
        <w:tc>
          <w:tcPr>
            <w:tcW w:w="1240" w:type="dxa"/>
            <w:noWrap/>
            <w:hideMark/>
          </w:tcPr>
          <w:p w:rsidR="00ED3B40" w:rsidRPr="00ED3B40" w:rsidRDefault="00ED3B40" w:rsidP="00ED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40">
              <w:rPr>
                <w:rFonts w:ascii="Times New Roman" w:hAnsi="Times New Roman" w:cs="Times New Roman"/>
                <w:sz w:val="24"/>
                <w:szCs w:val="24"/>
              </w:rPr>
              <w:t>3.31%</w:t>
            </w:r>
          </w:p>
        </w:tc>
      </w:tr>
      <w:tr w:rsidR="00ED3B40" w:rsidRPr="00ED3B40" w:rsidTr="00ED3B40">
        <w:trPr>
          <w:trHeight w:val="510"/>
        </w:trPr>
        <w:tc>
          <w:tcPr>
            <w:tcW w:w="3060" w:type="dxa"/>
            <w:hideMark/>
          </w:tcPr>
          <w:p w:rsidR="00ED3B40" w:rsidRPr="00ED3B40" w:rsidRDefault="00ED3B40" w:rsidP="00ED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40">
              <w:rPr>
                <w:rFonts w:ascii="Times New Roman" w:hAnsi="Times New Roman" w:cs="Times New Roman"/>
                <w:sz w:val="24"/>
                <w:szCs w:val="24"/>
              </w:rPr>
              <w:t xml:space="preserve">Ing. Bronislav </w:t>
            </w:r>
            <w:proofErr w:type="spellStart"/>
            <w:r w:rsidRPr="00ED3B40">
              <w:rPr>
                <w:rFonts w:ascii="Times New Roman" w:hAnsi="Times New Roman" w:cs="Times New Roman"/>
                <w:sz w:val="24"/>
                <w:szCs w:val="24"/>
              </w:rPr>
              <w:t>Kandrík</w:t>
            </w:r>
            <w:proofErr w:type="spellEnd"/>
          </w:p>
        </w:tc>
        <w:tc>
          <w:tcPr>
            <w:tcW w:w="1240" w:type="dxa"/>
            <w:noWrap/>
            <w:hideMark/>
          </w:tcPr>
          <w:p w:rsidR="00ED3B40" w:rsidRPr="00ED3B40" w:rsidRDefault="00ED3B40" w:rsidP="00ED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40">
              <w:rPr>
                <w:rFonts w:ascii="Times New Roman" w:hAnsi="Times New Roman" w:cs="Times New Roman"/>
                <w:sz w:val="24"/>
                <w:szCs w:val="24"/>
              </w:rPr>
              <w:t>1.00%</w:t>
            </w:r>
          </w:p>
        </w:tc>
      </w:tr>
      <w:tr w:rsidR="00ED3B40" w:rsidRPr="00ED3B40" w:rsidTr="00ED3B40">
        <w:trPr>
          <w:trHeight w:val="510"/>
        </w:trPr>
        <w:tc>
          <w:tcPr>
            <w:tcW w:w="3060" w:type="dxa"/>
            <w:hideMark/>
          </w:tcPr>
          <w:p w:rsidR="00ED3B40" w:rsidRPr="00ED3B40" w:rsidRDefault="00ED3B40" w:rsidP="00ED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40">
              <w:rPr>
                <w:rFonts w:ascii="Times New Roman" w:hAnsi="Times New Roman" w:cs="Times New Roman"/>
                <w:sz w:val="24"/>
                <w:szCs w:val="24"/>
              </w:rPr>
              <w:t>Mgr. Martin Ducháček</w:t>
            </w:r>
          </w:p>
        </w:tc>
        <w:tc>
          <w:tcPr>
            <w:tcW w:w="1240" w:type="dxa"/>
            <w:noWrap/>
            <w:hideMark/>
          </w:tcPr>
          <w:p w:rsidR="00ED3B40" w:rsidRPr="00ED3B40" w:rsidRDefault="00ED3B40" w:rsidP="00ED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40">
              <w:rPr>
                <w:rFonts w:ascii="Times New Roman" w:hAnsi="Times New Roman" w:cs="Times New Roman"/>
                <w:sz w:val="24"/>
                <w:szCs w:val="24"/>
              </w:rPr>
              <w:t>1.00%</w:t>
            </w:r>
          </w:p>
        </w:tc>
      </w:tr>
      <w:tr w:rsidR="00ED3B40" w:rsidRPr="00ED3B40" w:rsidTr="00ED3B40">
        <w:trPr>
          <w:trHeight w:val="510"/>
        </w:trPr>
        <w:tc>
          <w:tcPr>
            <w:tcW w:w="3060" w:type="dxa"/>
            <w:hideMark/>
          </w:tcPr>
          <w:p w:rsidR="00ED3B40" w:rsidRPr="00ED3B40" w:rsidRDefault="00ED3B40" w:rsidP="00ED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40">
              <w:rPr>
                <w:rFonts w:ascii="Times New Roman" w:hAnsi="Times New Roman" w:cs="Times New Roman"/>
                <w:sz w:val="24"/>
                <w:szCs w:val="24"/>
              </w:rPr>
              <w:t>Mgr. Anton Tyutin</w:t>
            </w:r>
          </w:p>
        </w:tc>
        <w:tc>
          <w:tcPr>
            <w:tcW w:w="1240" w:type="dxa"/>
            <w:noWrap/>
            <w:hideMark/>
          </w:tcPr>
          <w:p w:rsidR="00ED3B40" w:rsidRPr="00ED3B40" w:rsidRDefault="00ED3B40" w:rsidP="00ED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40">
              <w:rPr>
                <w:rFonts w:ascii="Times New Roman" w:hAnsi="Times New Roman" w:cs="Times New Roman"/>
                <w:sz w:val="24"/>
                <w:szCs w:val="24"/>
              </w:rPr>
              <w:t>0.60%</w:t>
            </w:r>
          </w:p>
        </w:tc>
      </w:tr>
      <w:tr w:rsidR="00ED3B40" w:rsidRPr="00ED3B40" w:rsidTr="00ED3B40">
        <w:trPr>
          <w:trHeight w:val="510"/>
        </w:trPr>
        <w:tc>
          <w:tcPr>
            <w:tcW w:w="3060" w:type="dxa"/>
            <w:hideMark/>
          </w:tcPr>
          <w:p w:rsidR="00ED3B40" w:rsidRPr="00ED3B40" w:rsidRDefault="00ED3B40" w:rsidP="00ED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40">
              <w:rPr>
                <w:rFonts w:ascii="Times New Roman" w:hAnsi="Times New Roman" w:cs="Times New Roman"/>
                <w:sz w:val="24"/>
                <w:szCs w:val="24"/>
              </w:rPr>
              <w:t>Mgr. Petr Altman</w:t>
            </w:r>
          </w:p>
        </w:tc>
        <w:tc>
          <w:tcPr>
            <w:tcW w:w="1240" w:type="dxa"/>
            <w:noWrap/>
            <w:hideMark/>
          </w:tcPr>
          <w:p w:rsidR="00ED3B40" w:rsidRPr="00ED3B40" w:rsidRDefault="00ED3B40" w:rsidP="00ED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40">
              <w:rPr>
                <w:rFonts w:ascii="Times New Roman" w:hAnsi="Times New Roman" w:cs="Times New Roman"/>
                <w:sz w:val="24"/>
                <w:szCs w:val="24"/>
              </w:rPr>
              <w:t>0.29%</w:t>
            </w:r>
          </w:p>
        </w:tc>
      </w:tr>
      <w:tr w:rsidR="00ED3B40" w:rsidRPr="00ED3B40" w:rsidTr="00ED3B40">
        <w:trPr>
          <w:trHeight w:val="510"/>
        </w:trPr>
        <w:tc>
          <w:tcPr>
            <w:tcW w:w="3060" w:type="dxa"/>
            <w:hideMark/>
          </w:tcPr>
          <w:p w:rsidR="00ED3B40" w:rsidRPr="00ED3B40" w:rsidRDefault="00ED3B40" w:rsidP="00ED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40">
              <w:rPr>
                <w:rFonts w:ascii="Times New Roman" w:hAnsi="Times New Roman" w:cs="Times New Roman"/>
                <w:sz w:val="24"/>
                <w:szCs w:val="24"/>
              </w:rPr>
              <w:t xml:space="preserve">Mgr. Jakub Petrásek </w:t>
            </w:r>
          </w:p>
        </w:tc>
        <w:tc>
          <w:tcPr>
            <w:tcW w:w="1240" w:type="dxa"/>
            <w:noWrap/>
            <w:hideMark/>
          </w:tcPr>
          <w:p w:rsidR="00ED3B40" w:rsidRPr="00ED3B40" w:rsidRDefault="00ED3B40" w:rsidP="00ED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B40">
              <w:rPr>
                <w:rFonts w:ascii="Times New Roman" w:hAnsi="Times New Roman" w:cs="Times New Roman"/>
                <w:sz w:val="24"/>
                <w:szCs w:val="24"/>
              </w:rPr>
              <w:t>0.20%</w:t>
            </w:r>
          </w:p>
        </w:tc>
      </w:tr>
    </w:tbl>
    <w:p w:rsidR="001533AD" w:rsidRDefault="001533AD" w:rsidP="001533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3B40" w:rsidRPr="001533AD" w:rsidRDefault="00ED3B40" w:rsidP="001533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33AD" w:rsidRDefault="001533AD" w:rsidP="001533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3AD" w:rsidRDefault="001533AD" w:rsidP="001533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F4E" w:rsidRDefault="00712F4E" w:rsidP="001533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3AD" w:rsidRDefault="001533AD" w:rsidP="001533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3AD" w:rsidRPr="001533AD" w:rsidRDefault="001533AD" w:rsidP="001533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B98" w:rsidRDefault="00697B98" w:rsidP="00697B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B98" w:rsidRDefault="00697B98" w:rsidP="00697B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026" w:rsidRDefault="00615026" w:rsidP="00697B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026" w:rsidRDefault="00615026" w:rsidP="00697B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026" w:rsidRDefault="00615026" w:rsidP="00697B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026" w:rsidRPr="00697B98" w:rsidRDefault="00615026" w:rsidP="00697B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B98" w:rsidRDefault="00697B98" w:rsidP="00712F4E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B98">
        <w:rPr>
          <w:rFonts w:ascii="Times New Roman" w:hAnsi="Times New Roman" w:cs="Times New Roman"/>
          <w:b/>
          <w:sz w:val="28"/>
          <w:szCs w:val="28"/>
        </w:rPr>
        <w:lastRenderedPageBreak/>
        <w:t>Údaje o činnosti Společnosti</w:t>
      </w:r>
      <w:r w:rsidR="00712F4E">
        <w:rPr>
          <w:rFonts w:ascii="Times New Roman" w:hAnsi="Times New Roman" w:cs="Times New Roman"/>
          <w:b/>
          <w:sz w:val="28"/>
          <w:szCs w:val="28"/>
        </w:rPr>
        <w:t>:</w:t>
      </w:r>
    </w:p>
    <w:p w:rsidR="00712F4E" w:rsidRPr="00712F4E" w:rsidRDefault="00712F4E" w:rsidP="00712F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F4E">
        <w:rPr>
          <w:rFonts w:ascii="Times New Roman" w:hAnsi="Times New Roman" w:cs="Times New Roman"/>
          <w:b/>
          <w:sz w:val="24"/>
          <w:szCs w:val="24"/>
        </w:rPr>
        <w:t>Zákonné vymezení činnosti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12F4E" w:rsidRPr="00712F4E" w:rsidRDefault="00712F4E" w:rsidP="00712F4E">
      <w:pPr>
        <w:jc w:val="both"/>
        <w:rPr>
          <w:rFonts w:ascii="Times New Roman" w:hAnsi="Times New Roman" w:cs="Times New Roman"/>
          <w:sz w:val="24"/>
          <w:szCs w:val="24"/>
        </w:rPr>
      </w:pPr>
      <w:r w:rsidRPr="00712F4E">
        <w:rPr>
          <w:rFonts w:ascii="Times New Roman" w:hAnsi="Times New Roman" w:cs="Times New Roman"/>
          <w:sz w:val="24"/>
          <w:szCs w:val="24"/>
        </w:rPr>
        <w:t xml:space="preserve">RSJ a.s. (dále jen „Společnost“) je obchodníkem s cennými papíry ve smyslu zákona č. 256/2004 Sb., o podnikání na kapitálovém trhu. Jako držitel licence České národní banky je společnost RSJ  a.s. oprávněna poskytovat všechny hlavní i vedlejší investiční služby, kromě služby pronájmu bezpečnostních schránek. </w:t>
      </w:r>
    </w:p>
    <w:p w:rsidR="00712F4E" w:rsidRPr="00712F4E" w:rsidRDefault="00712F4E" w:rsidP="00712F4E">
      <w:pPr>
        <w:jc w:val="both"/>
        <w:rPr>
          <w:rFonts w:ascii="Times New Roman" w:hAnsi="Times New Roman" w:cs="Times New Roman"/>
          <w:sz w:val="24"/>
          <w:szCs w:val="24"/>
        </w:rPr>
      </w:pPr>
      <w:r w:rsidRPr="00712F4E">
        <w:rPr>
          <w:rFonts w:ascii="Times New Roman" w:hAnsi="Times New Roman" w:cs="Times New Roman"/>
          <w:sz w:val="24"/>
          <w:szCs w:val="24"/>
        </w:rPr>
        <w:t>Spektrum činnosti je možné obecně definovat s pomocí zákona č. 256/2004 Sb., o podnikání na kapitálovém trhu. Mezi hlavní investiční služby patří:</w:t>
      </w:r>
    </w:p>
    <w:p w:rsidR="00712F4E" w:rsidRPr="00712F4E" w:rsidRDefault="00712F4E" w:rsidP="00712F4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F4E">
        <w:rPr>
          <w:rFonts w:ascii="Times New Roman" w:hAnsi="Times New Roman" w:cs="Times New Roman"/>
          <w:sz w:val="24"/>
          <w:szCs w:val="24"/>
        </w:rPr>
        <w:t>přijímání a předávání pokynů týkajících se investičních nástrojů, a to ve vztahu k investičním nástrojům podle ustanovení § 3 odst. 1 písm. a), b), c) a d) téhož zákona</w:t>
      </w:r>
    </w:p>
    <w:p w:rsidR="00712F4E" w:rsidRPr="00712F4E" w:rsidRDefault="00712F4E" w:rsidP="00712F4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F4E">
        <w:rPr>
          <w:rFonts w:ascii="Times New Roman" w:hAnsi="Times New Roman" w:cs="Times New Roman"/>
          <w:sz w:val="24"/>
          <w:szCs w:val="24"/>
        </w:rPr>
        <w:t>provádění pokynů týkajících se investičních nástrojů na účet jiné osoby, a to ve vztahu k investičním nástrojům podle ustanovení § 3 odst. 1 písm. a), b), c) a d) téhož zákona,</w:t>
      </w:r>
    </w:p>
    <w:p w:rsidR="00712F4E" w:rsidRPr="00712F4E" w:rsidRDefault="00712F4E" w:rsidP="00712F4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F4E">
        <w:rPr>
          <w:rFonts w:ascii="Times New Roman" w:hAnsi="Times New Roman" w:cs="Times New Roman"/>
          <w:sz w:val="24"/>
          <w:szCs w:val="24"/>
        </w:rPr>
        <w:t>obchodování s investičními nástroji na vlastní účet, a to ve vztahu k investičním nástrojům podle ustanovení § 3 odst. 1 písm. a), b), c) a d) téhož zákona,</w:t>
      </w:r>
    </w:p>
    <w:p w:rsidR="00712F4E" w:rsidRPr="00712F4E" w:rsidRDefault="00712F4E" w:rsidP="00712F4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F4E">
        <w:rPr>
          <w:rFonts w:ascii="Times New Roman" w:hAnsi="Times New Roman" w:cs="Times New Roman"/>
          <w:sz w:val="24"/>
          <w:szCs w:val="24"/>
        </w:rPr>
        <w:t xml:space="preserve">obhospodařování majetku zákazníka na základě smlouvy se zákazníkem, je-li součástí majetku investiční </w:t>
      </w:r>
      <w:proofErr w:type="gramStart"/>
      <w:r w:rsidRPr="00712F4E">
        <w:rPr>
          <w:rFonts w:ascii="Times New Roman" w:hAnsi="Times New Roman" w:cs="Times New Roman"/>
          <w:sz w:val="24"/>
          <w:szCs w:val="24"/>
        </w:rPr>
        <w:t>nástroj , a to</w:t>
      </w:r>
      <w:proofErr w:type="gramEnd"/>
      <w:r w:rsidRPr="00712F4E">
        <w:rPr>
          <w:rFonts w:ascii="Times New Roman" w:hAnsi="Times New Roman" w:cs="Times New Roman"/>
          <w:sz w:val="24"/>
          <w:szCs w:val="24"/>
        </w:rPr>
        <w:t xml:space="preserve"> ve vztahu k investičním nástrojům podle ustanovení § 3 odst. 1 písm. a), b), c) a d) téhož zákona,</w:t>
      </w:r>
    </w:p>
    <w:p w:rsidR="00712F4E" w:rsidRPr="00712F4E" w:rsidRDefault="00712F4E" w:rsidP="00712F4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F4E">
        <w:rPr>
          <w:rFonts w:ascii="Times New Roman" w:hAnsi="Times New Roman" w:cs="Times New Roman"/>
          <w:sz w:val="24"/>
          <w:szCs w:val="24"/>
        </w:rPr>
        <w:t>upisování nebo umisťování emisí investičních nástrojů, a to ve vztahu k investičním nástrojům podle ustanovení § 3 odst. 1 písm. a), b), c) a d) téhož zákona.</w:t>
      </w:r>
    </w:p>
    <w:p w:rsidR="00712F4E" w:rsidRPr="00712F4E" w:rsidRDefault="00712F4E" w:rsidP="00712F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2F4E" w:rsidRPr="00712F4E" w:rsidRDefault="00712F4E" w:rsidP="00712F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F4E">
        <w:rPr>
          <w:rFonts w:ascii="Times New Roman" w:hAnsi="Times New Roman" w:cs="Times New Roman"/>
          <w:b/>
          <w:sz w:val="24"/>
          <w:szCs w:val="24"/>
        </w:rPr>
        <w:t>Jako doplňkové investiční služby lze uvést:</w:t>
      </w:r>
    </w:p>
    <w:p w:rsidR="00712F4E" w:rsidRPr="00712F4E" w:rsidRDefault="00712F4E" w:rsidP="00712F4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F4E">
        <w:rPr>
          <w:rFonts w:ascii="Times New Roman" w:hAnsi="Times New Roman" w:cs="Times New Roman"/>
          <w:sz w:val="24"/>
          <w:szCs w:val="24"/>
        </w:rPr>
        <w:t>správa investičních nástrojů, a to ve vztahu k investičním nástrojům podle ustanovení § 3 odst. 1 písm. a), b), c) a d) téhož zákona,</w:t>
      </w:r>
    </w:p>
    <w:p w:rsidR="00712F4E" w:rsidRPr="00712F4E" w:rsidRDefault="00712F4E" w:rsidP="00712F4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F4E">
        <w:rPr>
          <w:rFonts w:ascii="Times New Roman" w:hAnsi="Times New Roman" w:cs="Times New Roman"/>
          <w:sz w:val="24"/>
          <w:szCs w:val="24"/>
        </w:rPr>
        <w:t>úschova investičních nástrojů, a to ve vztahu k investičním nástrojům podle ustanovení § 3 odst. 1 písm. a), b), c) a d) téhož zákona,</w:t>
      </w:r>
    </w:p>
    <w:p w:rsidR="00712F4E" w:rsidRPr="00712F4E" w:rsidRDefault="00712F4E" w:rsidP="00712F4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F4E">
        <w:rPr>
          <w:rFonts w:ascii="Times New Roman" w:hAnsi="Times New Roman" w:cs="Times New Roman"/>
          <w:sz w:val="24"/>
          <w:szCs w:val="24"/>
        </w:rPr>
        <w:t>poskytování úvěru nebo půjčky zákazníkovi za účelem umožnění obchodu s investičním nástrojem, na němž se poskytovatel úvěru nebo půjčky podílí, a to ve vztahu k investičním nástrojům podle ustanovení § 3 odst. 1 písm. a), b), c) a d) téhož zákona,</w:t>
      </w:r>
    </w:p>
    <w:p w:rsidR="00712F4E" w:rsidRPr="00712F4E" w:rsidRDefault="00712F4E" w:rsidP="00712F4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F4E">
        <w:rPr>
          <w:rFonts w:ascii="Times New Roman" w:hAnsi="Times New Roman" w:cs="Times New Roman"/>
          <w:sz w:val="24"/>
          <w:szCs w:val="24"/>
        </w:rPr>
        <w:t>poradenská činnost týkající se investování do investičních nástrojů, a to ve vztahu k investičním nástrojům podle ustanovení § 3 odst. 1 písm. a), b), c) a d) téhož zákona,</w:t>
      </w:r>
    </w:p>
    <w:p w:rsidR="00712F4E" w:rsidRPr="00712F4E" w:rsidRDefault="00712F4E" w:rsidP="00712F4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F4E">
        <w:rPr>
          <w:rFonts w:ascii="Times New Roman" w:hAnsi="Times New Roman" w:cs="Times New Roman"/>
          <w:sz w:val="24"/>
          <w:szCs w:val="24"/>
        </w:rPr>
        <w:t>provádění devizových operací souvisejících s poskytováním investičních služeb,</w:t>
      </w:r>
    </w:p>
    <w:p w:rsidR="00712F4E" w:rsidRPr="00712F4E" w:rsidRDefault="00712F4E" w:rsidP="00712F4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F4E">
        <w:rPr>
          <w:rFonts w:ascii="Times New Roman" w:hAnsi="Times New Roman" w:cs="Times New Roman"/>
          <w:sz w:val="24"/>
          <w:szCs w:val="24"/>
        </w:rPr>
        <w:t>služby související s upisováním emisí investičních nástrojů, a to ve vztahu k investičním nástrojům podle ustanovení § 3 odst. 1 písm. a), b), c) a d) téhož zákona.</w:t>
      </w:r>
    </w:p>
    <w:p w:rsidR="00712F4E" w:rsidRPr="00712F4E" w:rsidRDefault="00712F4E" w:rsidP="00712F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E1B" w:rsidRPr="00E35E1B" w:rsidRDefault="00E35E1B" w:rsidP="00E35E1B">
      <w:pPr>
        <w:jc w:val="both"/>
        <w:rPr>
          <w:rFonts w:ascii="Times New Roman" w:hAnsi="Times New Roman" w:cs="Times New Roman"/>
          <w:sz w:val="24"/>
          <w:szCs w:val="24"/>
        </w:rPr>
      </w:pPr>
      <w:r w:rsidRPr="00E35E1B">
        <w:rPr>
          <w:rFonts w:ascii="Times New Roman" w:hAnsi="Times New Roman" w:cs="Times New Roman"/>
          <w:sz w:val="24"/>
          <w:szCs w:val="24"/>
        </w:rPr>
        <w:t xml:space="preserve">V období 3Q 2010 RSJ zahájilo obchodování produktů FX </w:t>
      </w:r>
      <w:proofErr w:type="spellStart"/>
      <w:r w:rsidRPr="00E35E1B">
        <w:rPr>
          <w:rFonts w:ascii="Times New Roman" w:hAnsi="Times New Roman" w:cs="Times New Roman"/>
          <w:sz w:val="24"/>
          <w:szCs w:val="24"/>
        </w:rPr>
        <w:t>Futures</w:t>
      </w:r>
      <w:proofErr w:type="spellEnd"/>
      <w:r w:rsidRPr="00E35E1B">
        <w:rPr>
          <w:rFonts w:ascii="Times New Roman" w:hAnsi="Times New Roman" w:cs="Times New Roman"/>
          <w:sz w:val="24"/>
          <w:szCs w:val="24"/>
        </w:rPr>
        <w:t xml:space="preserve"> a WTI na CME. Zároveň RSJ udrž</w:t>
      </w:r>
      <w:r w:rsidR="005F0948">
        <w:rPr>
          <w:rFonts w:ascii="Times New Roman" w:hAnsi="Times New Roman" w:cs="Times New Roman"/>
          <w:sz w:val="24"/>
          <w:szCs w:val="24"/>
        </w:rPr>
        <w:t>e</w:t>
      </w:r>
      <w:r w:rsidRPr="00E35E1B">
        <w:rPr>
          <w:rFonts w:ascii="Times New Roman" w:hAnsi="Times New Roman" w:cs="Times New Roman"/>
          <w:sz w:val="24"/>
          <w:szCs w:val="24"/>
        </w:rPr>
        <w:t>lo stabilní pozici na již obchodovaných trzích. Pokračovaly přípravy na další rozšiřování obchodování.</w:t>
      </w:r>
    </w:p>
    <w:p w:rsidR="00E35E1B" w:rsidRPr="00F472FB" w:rsidRDefault="00E35E1B" w:rsidP="00F472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F4E" w:rsidRPr="005F0948" w:rsidRDefault="00712F4E" w:rsidP="00712F4E">
      <w:pPr>
        <w:pStyle w:val="Odstavecseseznamem"/>
        <w:ind w:left="0"/>
        <w:rPr>
          <w:rFonts w:ascii="Times New Roman" w:hAnsi="Times New Roman" w:cs="Times New Roman"/>
          <w:lang w:val="en-US"/>
        </w:rPr>
      </w:pPr>
      <w:proofErr w:type="spellStart"/>
      <w:r w:rsidRPr="005F0948">
        <w:rPr>
          <w:rFonts w:ascii="Times New Roman" w:hAnsi="Times New Roman" w:cs="Times New Roman"/>
          <w:lang w:val="en-US"/>
        </w:rPr>
        <w:t>Počty</w:t>
      </w:r>
      <w:proofErr w:type="spellEnd"/>
      <w:r w:rsidRPr="005F09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F0948">
        <w:rPr>
          <w:rFonts w:ascii="Times New Roman" w:hAnsi="Times New Roman" w:cs="Times New Roman"/>
          <w:lang w:val="en-US"/>
        </w:rPr>
        <w:t>zobchodovaných</w:t>
      </w:r>
      <w:proofErr w:type="spellEnd"/>
      <w:r w:rsidRPr="005F09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F0948">
        <w:rPr>
          <w:rFonts w:ascii="Times New Roman" w:hAnsi="Times New Roman" w:cs="Times New Roman"/>
          <w:lang w:val="en-US"/>
        </w:rPr>
        <w:t>lotů</w:t>
      </w:r>
      <w:proofErr w:type="spellEnd"/>
      <w:r w:rsidRPr="005F0948">
        <w:rPr>
          <w:rFonts w:ascii="Times New Roman" w:hAnsi="Times New Roman" w:cs="Times New Roman"/>
          <w:lang w:val="en-US"/>
        </w:rPr>
        <w:t>:</w:t>
      </w:r>
    </w:p>
    <w:tbl>
      <w:tblPr>
        <w:tblW w:w="9214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993"/>
        <w:gridCol w:w="1984"/>
        <w:gridCol w:w="2268"/>
        <w:gridCol w:w="2268"/>
        <w:gridCol w:w="1701"/>
      </w:tblGrid>
      <w:tr w:rsidR="00F472FB" w:rsidTr="00F472FB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72FB" w:rsidRDefault="00F472FB" w:rsidP="00ED7C77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72FB" w:rsidRDefault="00F472FB" w:rsidP="00ED7C7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London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72FB" w:rsidRDefault="00F472FB" w:rsidP="00ED7C7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Chicago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72FB" w:rsidRDefault="00F472FB" w:rsidP="00ED7C7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Frankfurt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72FB" w:rsidRPr="001D740D" w:rsidRDefault="00F472FB" w:rsidP="00ED7C77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 w:rsidRPr="001D740D">
              <w:rPr>
                <w:b/>
                <w:color w:val="000000"/>
              </w:rPr>
              <w:t>Total</w:t>
            </w:r>
            <w:proofErr w:type="spellEnd"/>
          </w:p>
        </w:tc>
      </w:tr>
      <w:tr w:rsidR="00F472FB" w:rsidTr="00F472FB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72FB" w:rsidRDefault="00F472FB" w:rsidP="00ED7C7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Q3 2010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72FB" w:rsidRDefault="00F472FB" w:rsidP="00ED7C7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21,486,990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72FB" w:rsidRDefault="00F472FB" w:rsidP="00ED7C7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18,293,839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72FB" w:rsidRDefault="00F472FB" w:rsidP="00ED7C7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8,691,654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72FB" w:rsidRDefault="00F472FB" w:rsidP="00ED7C7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48,472,483</w:t>
            </w:r>
          </w:p>
        </w:tc>
      </w:tr>
    </w:tbl>
    <w:p w:rsidR="00712F4E" w:rsidRPr="00712F4E" w:rsidRDefault="00712F4E" w:rsidP="00F472FB">
      <w:pPr>
        <w:pStyle w:val="Odstavecseseznamem"/>
        <w:ind w:left="0"/>
        <w:rPr>
          <w:rFonts w:ascii="Calibri" w:hAnsi="Calibri"/>
          <w:lang w:val="en-US"/>
        </w:rPr>
      </w:pPr>
    </w:p>
    <w:p w:rsidR="00712F4E" w:rsidRPr="00712F4E" w:rsidRDefault="00712F4E" w:rsidP="00712F4E">
      <w:pPr>
        <w:pStyle w:val="Odstavecseseznamem"/>
        <w:rPr>
          <w:lang w:val="en-US"/>
        </w:rPr>
      </w:pPr>
    </w:p>
    <w:p w:rsidR="00712F4E" w:rsidRPr="005F0948" w:rsidRDefault="00712F4E" w:rsidP="00F472FB">
      <w:pPr>
        <w:pStyle w:val="Odstavecseseznamem"/>
        <w:ind w:left="0"/>
        <w:rPr>
          <w:rFonts w:ascii="Times New Roman" w:hAnsi="Times New Roman" w:cs="Times New Roman"/>
          <w:lang w:val="en-US"/>
        </w:rPr>
      </w:pPr>
      <w:proofErr w:type="spellStart"/>
      <w:r w:rsidRPr="005F0948">
        <w:rPr>
          <w:rFonts w:ascii="Times New Roman" w:hAnsi="Times New Roman" w:cs="Times New Roman"/>
          <w:lang w:val="en-US"/>
        </w:rPr>
        <w:t>Nominální</w:t>
      </w:r>
      <w:proofErr w:type="spellEnd"/>
      <w:r w:rsidRPr="005F09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F0948">
        <w:rPr>
          <w:rFonts w:ascii="Times New Roman" w:hAnsi="Times New Roman" w:cs="Times New Roman"/>
          <w:lang w:val="en-US"/>
        </w:rPr>
        <w:t>hodnota</w:t>
      </w:r>
      <w:proofErr w:type="spellEnd"/>
      <w:r w:rsidRPr="005F09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F0948">
        <w:rPr>
          <w:rFonts w:ascii="Times New Roman" w:hAnsi="Times New Roman" w:cs="Times New Roman"/>
          <w:lang w:val="en-US"/>
        </w:rPr>
        <w:t>zobchodovaných</w:t>
      </w:r>
      <w:proofErr w:type="spellEnd"/>
      <w:r w:rsidRPr="005F094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F0948">
        <w:rPr>
          <w:rFonts w:ascii="Times New Roman" w:hAnsi="Times New Roman" w:cs="Times New Roman"/>
          <w:lang w:val="en-US"/>
        </w:rPr>
        <w:t>objemů</w:t>
      </w:r>
      <w:proofErr w:type="spellEnd"/>
      <w:r w:rsidRPr="005F0948">
        <w:rPr>
          <w:rFonts w:ascii="Times New Roman" w:hAnsi="Times New Roman" w:cs="Times New Roman"/>
          <w:lang w:val="en-US"/>
        </w:rPr>
        <w:t xml:space="preserve"> v CZK:</w:t>
      </w:r>
    </w:p>
    <w:p w:rsidR="00712F4E" w:rsidRPr="00712F4E" w:rsidRDefault="00712F4E" w:rsidP="00712F4E">
      <w:pPr>
        <w:pStyle w:val="Odstavecseseznamem"/>
        <w:rPr>
          <w:lang w:val="en-US"/>
        </w:rPr>
      </w:pPr>
    </w:p>
    <w:tbl>
      <w:tblPr>
        <w:tblW w:w="9249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829"/>
        <w:gridCol w:w="2520"/>
        <w:gridCol w:w="2520"/>
        <w:gridCol w:w="2380"/>
      </w:tblGrid>
      <w:tr w:rsidR="00712F4E" w:rsidTr="00F472FB">
        <w:trPr>
          <w:trHeight w:val="300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F4E" w:rsidRDefault="00712F4E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F4E" w:rsidRDefault="00712F4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Londýn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F4E" w:rsidRDefault="00712F4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Chicago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F4E" w:rsidRDefault="00712F4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Frankfurt</w:t>
            </w:r>
          </w:p>
        </w:tc>
      </w:tr>
      <w:tr w:rsidR="00712F4E" w:rsidTr="00F472FB">
        <w:trPr>
          <w:trHeight w:val="300"/>
        </w:trPr>
        <w:tc>
          <w:tcPr>
            <w:tcW w:w="1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F4E" w:rsidRDefault="00712F4E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Q3 2010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F4E" w:rsidRDefault="00712F4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CZK 465,626,273,337,589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F4E" w:rsidRDefault="00712F4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CZK 293,967,802,044,059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2F4E" w:rsidRDefault="00712F4E" w:rsidP="00E35E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CZK 14,461,997,702,193</w:t>
            </w:r>
          </w:p>
        </w:tc>
      </w:tr>
    </w:tbl>
    <w:p w:rsidR="00712F4E" w:rsidRDefault="00712F4E" w:rsidP="00712F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F4E" w:rsidRPr="00F472FB" w:rsidRDefault="00712F4E" w:rsidP="00712F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2FB">
        <w:rPr>
          <w:rFonts w:ascii="Times New Roman" w:hAnsi="Times New Roman" w:cs="Times New Roman"/>
          <w:b/>
          <w:sz w:val="24"/>
          <w:szCs w:val="24"/>
        </w:rPr>
        <w:t xml:space="preserve">Objem uskutečněných </w:t>
      </w:r>
      <w:proofErr w:type="spellStart"/>
      <w:r w:rsidRPr="00F472FB">
        <w:rPr>
          <w:rFonts w:ascii="Times New Roman" w:hAnsi="Times New Roman" w:cs="Times New Roman"/>
          <w:b/>
          <w:sz w:val="24"/>
          <w:szCs w:val="24"/>
        </w:rPr>
        <w:t>derivátových</w:t>
      </w:r>
      <w:proofErr w:type="spellEnd"/>
      <w:r w:rsidRPr="00F472FB">
        <w:rPr>
          <w:rFonts w:ascii="Times New Roman" w:hAnsi="Times New Roman" w:cs="Times New Roman"/>
          <w:b/>
          <w:sz w:val="24"/>
          <w:szCs w:val="24"/>
        </w:rPr>
        <w:t xml:space="preserve"> obchodů v 3Q 2010</w:t>
      </w:r>
      <w:r w:rsidR="00F472FB">
        <w:rPr>
          <w:rFonts w:ascii="Times New Roman" w:hAnsi="Times New Roman" w:cs="Times New Roman"/>
          <w:b/>
          <w:sz w:val="24"/>
          <w:szCs w:val="24"/>
        </w:rPr>
        <w:t xml:space="preserve"> v grafech</w:t>
      </w:r>
      <w:r w:rsidRPr="00F472FB">
        <w:rPr>
          <w:rFonts w:ascii="Times New Roman" w:hAnsi="Times New Roman" w:cs="Times New Roman"/>
          <w:b/>
          <w:sz w:val="24"/>
          <w:szCs w:val="24"/>
        </w:rPr>
        <w:t>:</w:t>
      </w:r>
    </w:p>
    <w:p w:rsidR="00712F4E" w:rsidRPr="00712F4E" w:rsidRDefault="00712F4E" w:rsidP="00712F4E">
      <w:pPr>
        <w:pStyle w:val="Odstavecseseznamem"/>
        <w:rPr>
          <w:lang w:val="en-US"/>
        </w:rPr>
      </w:pPr>
    </w:p>
    <w:p w:rsidR="00712F4E" w:rsidRPr="00712F4E" w:rsidRDefault="00712F4E" w:rsidP="00712F4E">
      <w:pPr>
        <w:pStyle w:val="Odstavecseseznamem"/>
        <w:rPr>
          <w:lang w:val="en-US"/>
        </w:rPr>
      </w:pPr>
      <w:r>
        <w:rPr>
          <w:noProof/>
          <w:lang w:eastAsia="cs-CZ"/>
        </w:rPr>
        <w:drawing>
          <wp:inline distT="0" distB="0" distL="0" distR="0">
            <wp:extent cx="4972050" cy="2409825"/>
            <wp:effectExtent l="19050" t="0" r="0" b="0"/>
            <wp:docPr id="1" name="Chart 1" descr="cid:image007.png@01CBB7DF.1509E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1" descr="cid:image007.png@01CBB7DF.1509E0B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F4E" w:rsidRDefault="00712F4E" w:rsidP="00712F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F4E" w:rsidRDefault="00712F4E" w:rsidP="00712F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F4E" w:rsidRDefault="00712F4E" w:rsidP="00712F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000625" cy="3552825"/>
            <wp:effectExtent l="19050" t="0" r="9525" b="0"/>
            <wp:docPr id="6" name="Chart 4" descr="cid:image008.png@01CBB7DF.1509E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4" descr="cid:image008.png@01CBB7DF.1509E0B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672" w:rsidRDefault="00CA7672" w:rsidP="00712F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672" w:rsidRDefault="00CA7672" w:rsidP="00712F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672" w:rsidRDefault="00CA7672" w:rsidP="00712F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672" w:rsidRDefault="00CA7672" w:rsidP="00712F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672" w:rsidRDefault="00CA7672" w:rsidP="00712F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672" w:rsidRDefault="00CA7672" w:rsidP="00712F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672" w:rsidRDefault="00CA7672" w:rsidP="00712F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672" w:rsidRDefault="00CA7672" w:rsidP="00712F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672" w:rsidRDefault="00CA7672" w:rsidP="00712F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672" w:rsidRDefault="00CA7672" w:rsidP="00712F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672" w:rsidRDefault="00CA7672" w:rsidP="00712F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672" w:rsidRDefault="00CA7672" w:rsidP="00712F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672" w:rsidRDefault="00CA7672" w:rsidP="00712F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672" w:rsidRDefault="00CA7672" w:rsidP="00712F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672" w:rsidRDefault="00CA7672" w:rsidP="00CA7672">
      <w:pPr>
        <w:pStyle w:val="Odstavecseseznamem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B98">
        <w:rPr>
          <w:rFonts w:ascii="Times New Roman" w:hAnsi="Times New Roman" w:cs="Times New Roman"/>
          <w:b/>
          <w:sz w:val="28"/>
          <w:szCs w:val="28"/>
        </w:rPr>
        <w:lastRenderedPageBreak/>
        <w:t>Údaje o finanční situaci Společnosti</w:t>
      </w:r>
    </w:p>
    <w:p w:rsidR="00CA7672" w:rsidRPr="00CA7672" w:rsidRDefault="00CA7672" w:rsidP="00CA76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7672" w:rsidRDefault="00BD3954" w:rsidP="00712F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954">
        <w:rPr>
          <w:noProof/>
          <w:szCs w:val="28"/>
          <w:lang w:eastAsia="cs-CZ"/>
        </w:rPr>
        <w:drawing>
          <wp:inline distT="0" distB="0" distL="0" distR="0">
            <wp:extent cx="5760720" cy="4402724"/>
            <wp:effectExtent l="1905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02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954" w:rsidRDefault="00BD3954" w:rsidP="00712F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954">
        <w:rPr>
          <w:noProof/>
          <w:szCs w:val="28"/>
          <w:lang w:eastAsia="cs-CZ"/>
        </w:rPr>
        <w:lastRenderedPageBreak/>
        <w:drawing>
          <wp:inline distT="0" distB="0" distL="0" distR="0">
            <wp:extent cx="5760720" cy="7846619"/>
            <wp:effectExtent l="1905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46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954" w:rsidRDefault="00BD3954" w:rsidP="00712F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954">
        <w:rPr>
          <w:noProof/>
          <w:szCs w:val="28"/>
          <w:lang w:eastAsia="cs-CZ"/>
        </w:rPr>
        <w:lastRenderedPageBreak/>
        <w:drawing>
          <wp:inline distT="0" distB="0" distL="0" distR="0">
            <wp:extent cx="5760720" cy="2823585"/>
            <wp:effectExtent l="1905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2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954" w:rsidRDefault="00BD3954" w:rsidP="00712F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954" w:rsidRDefault="00BD3954" w:rsidP="00712F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954">
        <w:rPr>
          <w:noProof/>
          <w:szCs w:val="28"/>
          <w:lang w:eastAsia="cs-CZ"/>
        </w:rPr>
        <w:drawing>
          <wp:inline distT="0" distB="0" distL="0" distR="0">
            <wp:extent cx="5760720" cy="2594987"/>
            <wp:effectExtent l="1905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94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954" w:rsidRDefault="00BD3954" w:rsidP="00712F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954" w:rsidRDefault="00BD3954" w:rsidP="00712F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954">
        <w:rPr>
          <w:noProof/>
          <w:szCs w:val="28"/>
          <w:lang w:eastAsia="cs-CZ"/>
        </w:rPr>
        <w:lastRenderedPageBreak/>
        <w:drawing>
          <wp:inline distT="0" distB="0" distL="0" distR="0">
            <wp:extent cx="4838700" cy="8553450"/>
            <wp:effectExtent l="1905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855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954" w:rsidRDefault="00BD3954" w:rsidP="00712F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954" w:rsidRDefault="00BD3954" w:rsidP="00712F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954">
        <w:rPr>
          <w:noProof/>
          <w:szCs w:val="28"/>
          <w:lang w:eastAsia="cs-CZ"/>
        </w:rPr>
        <w:drawing>
          <wp:inline distT="0" distB="0" distL="0" distR="0">
            <wp:extent cx="4838700" cy="6724650"/>
            <wp:effectExtent l="1905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672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954" w:rsidRDefault="00BD3954" w:rsidP="00712F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954" w:rsidRDefault="00BD3954" w:rsidP="00712F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144" w:rsidRDefault="00833144" w:rsidP="00712F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144" w:rsidRDefault="00833144" w:rsidP="00712F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144" w:rsidRDefault="00833144" w:rsidP="00712F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144">
        <w:rPr>
          <w:noProof/>
          <w:szCs w:val="28"/>
          <w:lang w:eastAsia="cs-CZ"/>
        </w:rPr>
        <w:lastRenderedPageBreak/>
        <w:drawing>
          <wp:inline distT="0" distB="0" distL="0" distR="0">
            <wp:extent cx="4429125" cy="6038850"/>
            <wp:effectExtent l="19050" t="0" r="9525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144" w:rsidRDefault="00833144" w:rsidP="00712F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144">
        <w:rPr>
          <w:noProof/>
          <w:szCs w:val="28"/>
          <w:lang w:eastAsia="cs-CZ"/>
        </w:rPr>
        <w:lastRenderedPageBreak/>
        <w:drawing>
          <wp:inline distT="0" distB="0" distL="0" distR="0">
            <wp:extent cx="4400550" cy="7820025"/>
            <wp:effectExtent l="1905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782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144" w:rsidRDefault="00833144" w:rsidP="00712F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38C" w:rsidRDefault="0063138C" w:rsidP="00712F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38C" w:rsidRDefault="0063138C" w:rsidP="00712F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69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360"/>
        <w:gridCol w:w="328"/>
        <w:gridCol w:w="1212"/>
      </w:tblGrid>
      <w:tr w:rsidR="0063138C" w:rsidRPr="0063138C" w:rsidTr="0063138C">
        <w:trPr>
          <w:trHeight w:val="255"/>
        </w:trPr>
        <w:tc>
          <w:tcPr>
            <w:tcW w:w="6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38C" w:rsidRPr="0063138C" w:rsidRDefault="0063138C" w:rsidP="006313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313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Datová oblast: DIS20_03 Kapitálová přiměřenost a doplňující informace</w:t>
            </w:r>
          </w:p>
        </w:tc>
      </w:tr>
      <w:tr w:rsidR="0063138C" w:rsidRPr="0063138C" w:rsidTr="0063138C">
        <w:trPr>
          <w:trHeight w:val="120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8C" w:rsidRPr="0063138C" w:rsidRDefault="0063138C" w:rsidP="006313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38C" w:rsidRPr="0063138C" w:rsidRDefault="0063138C" w:rsidP="006313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138C" w:rsidRPr="0063138C" w:rsidRDefault="0063138C" w:rsidP="006313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3138C" w:rsidRPr="0063138C" w:rsidTr="0063138C">
        <w:trPr>
          <w:trHeight w:val="225"/>
        </w:trPr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138C" w:rsidRPr="0063138C" w:rsidRDefault="0063138C" w:rsidP="0063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138C" w:rsidRPr="0063138C" w:rsidRDefault="0063138C" w:rsidP="0063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38C" w:rsidRPr="0063138C" w:rsidRDefault="0063138C" w:rsidP="0063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</w:tr>
      <w:tr w:rsidR="0063138C" w:rsidRPr="0063138C" w:rsidTr="0063138C">
        <w:trPr>
          <w:trHeight w:val="225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38C" w:rsidRPr="0063138C" w:rsidRDefault="0063138C" w:rsidP="006313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Původní kapitál (</w:t>
            </w:r>
            <w:proofErr w:type="spellStart"/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Tier</w:t>
            </w:r>
            <w:proofErr w:type="spellEnd"/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1) pro propočet </w:t>
            </w:r>
            <w:proofErr w:type="spellStart"/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kapit</w:t>
            </w:r>
            <w:proofErr w:type="spellEnd"/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 přiměřenosti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138C" w:rsidRPr="0063138C" w:rsidRDefault="0063138C" w:rsidP="0063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38C" w:rsidRPr="0063138C" w:rsidRDefault="0063138C" w:rsidP="0063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48609</w:t>
            </w:r>
          </w:p>
        </w:tc>
      </w:tr>
      <w:tr w:rsidR="0063138C" w:rsidRPr="0063138C" w:rsidTr="0063138C">
        <w:trPr>
          <w:trHeight w:val="225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38C" w:rsidRPr="0063138C" w:rsidRDefault="0063138C" w:rsidP="006313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Dodatkový kapitál (</w:t>
            </w:r>
            <w:proofErr w:type="spellStart"/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Tier</w:t>
            </w:r>
            <w:proofErr w:type="spellEnd"/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2) pro propočet </w:t>
            </w:r>
            <w:proofErr w:type="spellStart"/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kapit</w:t>
            </w:r>
            <w:proofErr w:type="spellEnd"/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 přiměřenosti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138C" w:rsidRPr="0063138C" w:rsidRDefault="0063138C" w:rsidP="0063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38C" w:rsidRPr="0063138C" w:rsidRDefault="0063138C" w:rsidP="0063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63138C" w:rsidRPr="0063138C" w:rsidTr="0063138C">
        <w:trPr>
          <w:trHeight w:val="225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38C" w:rsidRPr="0063138C" w:rsidRDefault="0063138C" w:rsidP="006313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Kapitál </w:t>
            </w:r>
            <w:proofErr w:type="spellStart"/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relev</w:t>
            </w:r>
            <w:proofErr w:type="spellEnd"/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. pro výpočet limitů </w:t>
            </w:r>
            <w:proofErr w:type="spellStart"/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ang.a</w:t>
            </w:r>
            <w:proofErr w:type="spellEnd"/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limitů </w:t>
            </w:r>
            <w:proofErr w:type="spellStart"/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kval</w:t>
            </w:r>
            <w:proofErr w:type="spellEnd"/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 účastí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138C" w:rsidRPr="0063138C" w:rsidRDefault="0063138C" w:rsidP="0063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38C" w:rsidRPr="0063138C" w:rsidRDefault="0063138C" w:rsidP="0063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48609</w:t>
            </w:r>
          </w:p>
        </w:tc>
      </w:tr>
      <w:tr w:rsidR="0063138C" w:rsidRPr="0063138C" w:rsidTr="0063138C">
        <w:trPr>
          <w:trHeight w:val="225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38C" w:rsidRPr="0063138C" w:rsidRDefault="0063138C" w:rsidP="006313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Přebyt./nedost</w:t>
            </w:r>
            <w:proofErr w:type="gramEnd"/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. kapitálu před zápočtem  </w:t>
            </w:r>
            <w:proofErr w:type="spellStart"/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přech</w:t>
            </w:r>
            <w:proofErr w:type="spellEnd"/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. kap. </w:t>
            </w:r>
            <w:proofErr w:type="spellStart"/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pož</w:t>
            </w:r>
            <w:proofErr w:type="spellEnd"/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138C" w:rsidRPr="0063138C" w:rsidRDefault="0063138C" w:rsidP="0063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38C" w:rsidRPr="0063138C" w:rsidRDefault="0063138C" w:rsidP="0063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34875</w:t>
            </w:r>
          </w:p>
        </w:tc>
      </w:tr>
      <w:tr w:rsidR="0063138C" w:rsidRPr="0063138C" w:rsidTr="0063138C">
        <w:trPr>
          <w:trHeight w:val="225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38C" w:rsidRPr="0063138C" w:rsidRDefault="0063138C" w:rsidP="006313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Kapit</w:t>
            </w:r>
            <w:proofErr w:type="spellEnd"/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. přiměřenost před zápočtem  </w:t>
            </w:r>
            <w:proofErr w:type="spellStart"/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přech</w:t>
            </w:r>
            <w:proofErr w:type="spellEnd"/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. kap. </w:t>
            </w:r>
            <w:proofErr w:type="spellStart"/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pož</w:t>
            </w:r>
            <w:proofErr w:type="spellEnd"/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138C" w:rsidRPr="0063138C" w:rsidRDefault="0063138C" w:rsidP="0063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38C" w:rsidRPr="0063138C" w:rsidRDefault="0063138C" w:rsidP="0063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28.31</w:t>
            </w:r>
          </w:p>
        </w:tc>
      </w:tr>
      <w:tr w:rsidR="0063138C" w:rsidRPr="0063138C" w:rsidTr="0063138C">
        <w:trPr>
          <w:trHeight w:val="225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38C" w:rsidRPr="0063138C" w:rsidRDefault="0063138C" w:rsidP="006313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Přebytek/nedostatek kapitálu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138C" w:rsidRPr="0063138C" w:rsidRDefault="0063138C" w:rsidP="0063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38C" w:rsidRPr="0063138C" w:rsidRDefault="0063138C" w:rsidP="0063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34875</w:t>
            </w:r>
          </w:p>
        </w:tc>
      </w:tr>
      <w:tr w:rsidR="0063138C" w:rsidRPr="0063138C" w:rsidTr="0063138C">
        <w:trPr>
          <w:trHeight w:val="225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38C" w:rsidRPr="0063138C" w:rsidRDefault="0063138C" w:rsidP="006313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Kapitálová přiměřenost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138C" w:rsidRPr="0063138C" w:rsidRDefault="0063138C" w:rsidP="0063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38C" w:rsidRPr="0063138C" w:rsidRDefault="0063138C" w:rsidP="0063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28.31</w:t>
            </w:r>
          </w:p>
        </w:tc>
      </w:tr>
      <w:tr w:rsidR="0063138C" w:rsidRPr="0063138C" w:rsidTr="0063138C">
        <w:trPr>
          <w:trHeight w:val="225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38C" w:rsidRPr="0063138C" w:rsidRDefault="0063138C" w:rsidP="006313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Přebytek/nedostatek v krytí oček. </w:t>
            </w:r>
            <w:proofErr w:type="gramStart"/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ztrát</w:t>
            </w:r>
            <w:proofErr w:type="gramEnd"/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při  IRB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138C" w:rsidRPr="0063138C" w:rsidRDefault="0063138C" w:rsidP="0063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38C" w:rsidRPr="0063138C" w:rsidRDefault="0063138C" w:rsidP="0063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63138C" w:rsidRPr="0063138C" w:rsidTr="0063138C">
        <w:trPr>
          <w:trHeight w:val="225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38C" w:rsidRPr="0063138C" w:rsidRDefault="0063138C" w:rsidP="006313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Úpravy ocenění expozic a rezervy k </w:t>
            </w:r>
            <w:proofErr w:type="spellStart"/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podrozv</w:t>
            </w:r>
            <w:proofErr w:type="spellEnd"/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. položkám při IRB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138C" w:rsidRPr="0063138C" w:rsidRDefault="0063138C" w:rsidP="0063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38C" w:rsidRPr="0063138C" w:rsidRDefault="0063138C" w:rsidP="0063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63138C" w:rsidRPr="0063138C" w:rsidTr="0063138C">
        <w:trPr>
          <w:trHeight w:val="225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38C" w:rsidRPr="0063138C" w:rsidRDefault="0063138C" w:rsidP="006313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OP k portfoliím expozic při IRB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138C" w:rsidRPr="0063138C" w:rsidRDefault="0063138C" w:rsidP="0063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38C" w:rsidRPr="0063138C" w:rsidRDefault="0063138C" w:rsidP="0063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63138C" w:rsidRPr="0063138C" w:rsidTr="0063138C">
        <w:trPr>
          <w:trHeight w:val="225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38C" w:rsidRPr="0063138C" w:rsidRDefault="0063138C" w:rsidP="006313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OP k individuálním expozicím při IRB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138C" w:rsidRPr="0063138C" w:rsidRDefault="0063138C" w:rsidP="0063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38C" w:rsidRPr="0063138C" w:rsidRDefault="0063138C" w:rsidP="0063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63138C" w:rsidRPr="0063138C" w:rsidTr="0063138C">
        <w:trPr>
          <w:trHeight w:val="225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38C" w:rsidRPr="0063138C" w:rsidRDefault="0063138C" w:rsidP="006313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   </w:t>
            </w:r>
            <w:proofErr w:type="spellStart"/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Ost</w:t>
            </w:r>
            <w:proofErr w:type="spellEnd"/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. </w:t>
            </w:r>
            <w:proofErr w:type="gramStart"/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úpravy</w:t>
            </w:r>
            <w:proofErr w:type="gramEnd"/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ocenění exp. a rezervy k </w:t>
            </w:r>
            <w:proofErr w:type="spellStart"/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podroz</w:t>
            </w:r>
            <w:proofErr w:type="spellEnd"/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. položkám při IRB 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138C" w:rsidRPr="0063138C" w:rsidRDefault="0063138C" w:rsidP="0063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38C" w:rsidRPr="0063138C" w:rsidRDefault="0063138C" w:rsidP="0063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63138C" w:rsidRPr="0063138C" w:rsidTr="0063138C">
        <w:trPr>
          <w:trHeight w:val="225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38C" w:rsidRPr="0063138C" w:rsidRDefault="0063138C" w:rsidP="006313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  Očekávané úvěrové ztráty při IRB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138C" w:rsidRPr="0063138C" w:rsidRDefault="0063138C" w:rsidP="0063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38C" w:rsidRPr="0063138C" w:rsidRDefault="0063138C" w:rsidP="0063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  <w:tr w:rsidR="0063138C" w:rsidRPr="0063138C" w:rsidTr="0063138C">
        <w:trPr>
          <w:trHeight w:val="225"/>
        </w:trPr>
        <w:tc>
          <w:tcPr>
            <w:tcW w:w="5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138C" w:rsidRPr="0063138C" w:rsidRDefault="0063138C" w:rsidP="006313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Celková výše podřízeného dluhu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138C" w:rsidRPr="0063138C" w:rsidRDefault="0063138C" w:rsidP="0063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38C" w:rsidRPr="0063138C" w:rsidRDefault="0063138C" w:rsidP="00631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3138C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</w:tr>
    </w:tbl>
    <w:p w:rsidR="0063138C" w:rsidRDefault="0063138C" w:rsidP="00712F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38C" w:rsidRDefault="0063138C" w:rsidP="00712F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144" w:rsidRDefault="00833144" w:rsidP="00712F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144" w:rsidRPr="00712F4E" w:rsidRDefault="00833144" w:rsidP="00712F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33144" w:rsidRPr="00712F4E" w:rsidSect="00EF7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4AB1"/>
    <w:multiLevelType w:val="hybridMultilevel"/>
    <w:tmpl w:val="997E22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427921"/>
    <w:multiLevelType w:val="hybridMultilevel"/>
    <w:tmpl w:val="507633B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595FDF"/>
    <w:multiLevelType w:val="hybridMultilevel"/>
    <w:tmpl w:val="6B1C6F3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2B7012"/>
    <w:multiLevelType w:val="hybridMultilevel"/>
    <w:tmpl w:val="81669932"/>
    <w:lvl w:ilvl="0" w:tplc="040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5D571CD1"/>
    <w:multiLevelType w:val="hybridMultilevel"/>
    <w:tmpl w:val="4DE817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7B98"/>
    <w:rsid w:val="00011BFA"/>
    <w:rsid w:val="000A3F6E"/>
    <w:rsid w:val="000C740F"/>
    <w:rsid w:val="001479CD"/>
    <w:rsid w:val="00151BBA"/>
    <w:rsid w:val="001533AD"/>
    <w:rsid w:val="001556DD"/>
    <w:rsid w:val="001A7CFF"/>
    <w:rsid w:val="00281264"/>
    <w:rsid w:val="00320B69"/>
    <w:rsid w:val="00326B62"/>
    <w:rsid w:val="00333A13"/>
    <w:rsid w:val="003C0D78"/>
    <w:rsid w:val="003E637D"/>
    <w:rsid w:val="00401540"/>
    <w:rsid w:val="004039AC"/>
    <w:rsid w:val="004A0EB0"/>
    <w:rsid w:val="0059141B"/>
    <w:rsid w:val="005F0948"/>
    <w:rsid w:val="00615026"/>
    <w:rsid w:val="006209B5"/>
    <w:rsid w:val="0063138C"/>
    <w:rsid w:val="00697B98"/>
    <w:rsid w:val="00712F4E"/>
    <w:rsid w:val="00746C72"/>
    <w:rsid w:val="007C15BF"/>
    <w:rsid w:val="007D4D02"/>
    <w:rsid w:val="007E41C8"/>
    <w:rsid w:val="007F69E7"/>
    <w:rsid w:val="008132B9"/>
    <w:rsid w:val="00833144"/>
    <w:rsid w:val="00863717"/>
    <w:rsid w:val="0087167F"/>
    <w:rsid w:val="0089296E"/>
    <w:rsid w:val="008E2F71"/>
    <w:rsid w:val="009010CE"/>
    <w:rsid w:val="00973C47"/>
    <w:rsid w:val="0099726C"/>
    <w:rsid w:val="009C479E"/>
    <w:rsid w:val="009C78EF"/>
    <w:rsid w:val="009F7F59"/>
    <w:rsid w:val="00A02020"/>
    <w:rsid w:val="00A14704"/>
    <w:rsid w:val="00A248CF"/>
    <w:rsid w:val="00A2537E"/>
    <w:rsid w:val="00A34E6C"/>
    <w:rsid w:val="00A367EC"/>
    <w:rsid w:val="00A40C33"/>
    <w:rsid w:val="00AE7251"/>
    <w:rsid w:val="00B33861"/>
    <w:rsid w:val="00B4778A"/>
    <w:rsid w:val="00B503BA"/>
    <w:rsid w:val="00B977BC"/>
    <w:rsid w:val="00BD2D7A"/>
    <w:rsid w:val="00BD3954"/>
    <w:rsid w:val="00BD65C8"/>
    <w:rsid w:val="00C35FD5"/>
    <w:rsid w:val="00CA7672"/>
    <w:rsid w:val="00CD39AD"/>
    <w:rsid w:val="00CF2A87"/>
    <w:rsid w:val="00D906C6"/>
    <w:rsid w:val="00E35E1B"/>
    <w:rsid w:val="00EA4DBE"/>
    <w:rsid w:val="00ED3B40"/>
    <w:rsid w:val="00ED7C77"/>
    <w:rsid w:val="00EF7809"/>
    <w:rsid w:val="00F02FBA"/>
    <w:rsid w:val="00F41CF3"/>
    <w:rsid w:val="00F472FB"/>
    <w:rsid w:val="00FA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8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7B98"/>
    <w:pPr>
      <w:ind w:left="720"/>
      <w:contextualSpacing/>
    </w:pPr>
  </w:style>
  <w:style w:type="table" w:styleId="Mkatabulky">
    <w:name w:val="Table Grid"/>
    <w:basedOn w:val="Normlntabulka"/>
    <w:uiPriority w:val="59"/>
    <w:rsid w:val="00ED3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12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7.png@01CBB7DF.1509E0B0" TargetMode="Externa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cid:image008.png@01CBB7DF.1509E0B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D7650-E2F5-45E4-A782-1BE1B69FF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18</Pages>
  <Words>1774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Hynešová</dc:creator>
  <cp:lastModifiedBy>Romana Hynešová</cp:lastModifiedBy>
  <cp:revision>30</cp:revision>
  <cp:lastPrinted>2011-02-07T08:10:00Z</cp:lastPrinted>
  <dcterms:created xsi:type="dcterms:W3CDTF">2011-01-28T09:03:00Z</dcterms:created>
  <dcterms:modified xsi:type="dcterms:W3CDTF">2011-02-24T12:40:00Z</dcterms:modified>
</cp:coreProperties>
</file>